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5A" w:rsidRDefault="00C5215A">
      <w:pPr>
        <w:jc w:val="center"/>
        <w:outlineLvl w:val="0"/>
        <w:rPr>
          <w:rFonts w:ascii="方正小标宋简体" w:eastAsia="方正小标宋简体"/>
          <w:sz w:val="36"/>
          <w:szCs w:val="36"/>
        </w:rPr>
      </w:pPr>
    </w:p>
    <w:p w:rsidR="00550285" w:rsidRPr="00C61025" w:rsidRDefault="00FA58F9">
      <w:pPr>
        <w:jc w:val="center"/>
        <w:outlineLvl w:val="0"/>
        <w:rPr>
          <w:rFonts w:ascii="楷体" w:eastAsia="楷体" w:hAnsi="楷体"/>
          <w:sz w:val="36"/>
          <w:szCs w:val="36"/>
        </w:rPr>
      </w:pPr>
      <w:r w:rsidRPr="00C61025">
        <w:rPr>
          <w:rFonts w:ascii="方正小标宋简体" w:eastAsia="方正小标宋简体" w:hint="eastAsia"/>
          <w:sz w:val="36"/>
          <w:szCs w:val="36"/>
        </w:rPr>
        <w:t>全省普通高校本专科生学科竞赛等级认定实施办法</w:t>
      </w:r>
      <w:r w:rsidRPr="00C61025">
        <w:rPr>
          <w:rFonts w:ascii="楷体" w:eastAsia="楷体" w:hAnsi="楷体" w:hint="eastAsia"/>
          <w:sz w:val="36"/>
          <w:szCs w:val="36"/>
        </w:rPr>
        <w:t>（</w:t>
      </w:r>
      <w:r w:rsidR="007E4994">
        <w:rPr>
          <w:rFonts w:ascii="楷体" w:eastAsia="楷体" w:hAnsi="楷体" w:hint="eastAsia"/>
          <w:sz w:val="36"/>
          <w:szCs w:val="36"/>
        </w:rPr>
        <w:t>试行</w:t>
      </w:r>
      <w:bookmarkStart w:id="0" w:name="_GoBack"/>
      <w:bookmarkEnd w:id="0"/>
      <w:r w:rsidRPr="00C61025">
        <w:rPr>
          <w:rFonts w:ascii="楷体" w:eastAsia="楷体" w:hAnsi="楷体" w:hint="eastAsia"/>
          <w:sz w:val="36"/>
          <w:szCs w:val="36"/>
        </w:rPr>
        <w:t>）</w:t>
      </w:r>
    </w:p>
    <w:p w:rsidR="00C61025" w:rsidRDefault="00C61025">
      <w:pPr>
        <w:spacing w:line="560" w:lineRule="exact"/>
        <w:ind w:firstLineChars="200" w:firstLine="640"/>
        <w:rPr>
          <w:rFonts w:eastAsia="仿宋_GB2312"/>
          <w:sz w:val="32"/>
          <w:szCs w:val="32"/>
        </w:rPr>
      </w:pPr>
    </w:p>
    <w:p w:rsidR="00550285" w:rsidRDefault="00FA58F9">
      <w:pPr>
        <w:spacing w:line="560" w:lineRule="exact"/>
        <w:ind w:firstLineChars="200" w:firstLine="640"/>
        <w:rPr>
          <w:rFonts w:eastAsia="仿宋_GB2312"/>
          <w:sz w:val="32"/>
          <w:szCs w:val="32"/>
        </w:rPr>
      </w:pPr>
      <w:r>
        <w:rPr>
          <w:rFonts w:eastAsia="仿宋_GB2312" w:hint="eastAsia"/>
          <w:sz w:val="32"/>
          <w:szCs w:val="32"/>
        </w:rPr>
        <w:t>为进一步规范管理、推动和发挥学科竞赛类活动在教育教学和创新</w:t>
      </w:r>
      <w:r w:rsidR="00C61025">
        <w:rPr>
          <w:rFonts w:eastAsia="仿宋_GB2312" w:hint="eastAsia"/>
          <w:sz w:val="32"/>
          <w:szCs w:val="32"/>
        </w:rPr>
        <w:t>创业</w:t>
      </w:r>
      <w:r>
        <w:rPr>
          <w:rFonts w:eastAsia="仿宋_GB2312" w:hint="eastAsia"/>
          <w:sz w:val="32"/>
          <w:szCs w:val="32"/>
        </w:rPr>
        <w:t>人才培养等方面的重要作用，受省</w:t>
      </w:r>
      <w:r>
        <w:rPr>
          <w:rFonts w:eastAsia="仿宋_GB2312"/>
          <w:sz w:val="32"/>
          <w:szCs w:val="32"/>
        </w:rPr>
        <w:t>教育厅委托，江苏省高等教育学会</w:t>
      </w:r>
      <w:r>
        <w:rPr>
          <w:rFonts w:eastAsia="仿宋_GB2312" w:hint="eastAsia"/>
          <w:sz w:val="32"/>
          <w:szCs w:val="32"/>
        </w:rPr>
        <w:t>组织全省</w:t>
      </w:r>
      <w:r>
        <w:rPr>
          <w:rFonts w:eastAsia="仿宋_GB2312"/>
          <w:sz w:val="32"/>
          <w:szCs w:val="32"/>
        </w:rPr>
        <w:t>普通高校本专科</w:t>
      </w:r>
      <w:r>
        <w:rPr>
          <w:rFonts w:eastAsia="仿宋_GB2312" w:hint="eastAsia"/>
          <w:sz w:val="32"/>
          <w:szCs w:val="32"/>
        </w:rPr>
        <w:t>生学科竞赛的等级认定工作，</w:t>
      </w:r>
      <w:r>
        <w:rPr>
          <w:rFonts w:eastAsia="仿宋_GB2312"/>
          <w:sz w:val="32"/>
          <w:szCs w:val="32"/>
        </w:rPr>
        <w:t>致力于为</w:t>
      </w:r>
      <w:r>
        <w:rPr>
          <w:rFonts w:eastAsia="仿宋_GB2312" w:hint="eastAsia"/>
          <w:sz w:val="32"/>
          <w:szCs w:val="32"/>
        </w:rPr>
        <w:t>我省</w:t>
      </w:r>
      <w:r>
        <w:rPr>
          <w:rFonts w:eastAsia="仿宋_GB2312"/>
          <w:sz w:val="32"/>
          <w:szCs w:val="32"/>
        </w:rPr>
        <w:t>高校</w:t>
      </w:r>
      <w:r>
        <w:rPr>
          <w:rFonts w:eastAsia="仿宋_GB2312" w:hint="eastAsia"/>
          <w:sz w:val="32"/>
          <w:szCs w:val="32"/>
        </w:rPr>
        <w:t>提供省级赛事</w:t>
      </w:r>
      <w:r>
        <w:rPr>
          <w:rFonts w:eastAsia="仿宋_GB2312"/>
          <w:sz w:val="32"/>
          <w:szCs w:val="32"/>
        </w:rPr>
        <w:t>的</w:t>
      </w:r>
      <w:r>
        <w:rPr>
          <w:rFonts w:eastAsia="仿宋_GB2312" w:hint="eastAsia"/>
          <w:sz w:val="32"/>
          <w:szCs w:val="32"/>
        </w:rPr>
        <w:t>规范和引导。</w:t>
      </w:r>
    </w:p>
    <w:p w:rsidR="00550285" w:rsidRDefault="00FA58F9">
      <w:pPr>
        <w:numPr>
          <w:ilvl w:val="0"/>
          <w:numId w:val="1"/>
        </w:numPr>
        <w:spacing w:line="560" w:lineRule="exact"/>
        <w:ind w:firstLineChars="200" w:firstLine="640"/>
        <w:jc w:val="center"/>
        <w:rPr>
          <w:rFonts w:eastAsia="黑体"/>
          <w:sz w:val="32"/>
          <w:szCs w:val="32"/>
        </w:rPr>
      </w:pPr>
      <w:r>
        <w:rPr>
          <w:rFonts w:eastAsia="黑体" w:hint="eastAsia"/>
          <w:sz w:val="32"/>
          <w:szCs w:val="32"/>
        </w:rPr>
        <w:t>总则</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学科竞赛是高等教育人才培养的一个重要环节，也是</w:t>
      </w:r>
      <w:r>
        <w:rPr>
          <w:rFonts w:eastAsia="仿宋_GB2312"/>
          <w:sz w:val="32"/>
          <w:szCs w:val="32"/>
        </w:rPr>
        <w:t>创新创业教育的重要</w:t>
      </w:r>
      <w:r>
        <w:rPr>
          <w:rFonts w:eastAsia="仿宋_GB2312" w:hint="eastAsia"/>
          <w:sz w:val="32"/>
          <w:szCs w:val="32"/>
        </w:rPr>
        <w:t>方式之一</w:t>
      </w:r>
      <w:r>
        <w:rPr>
          <w:rFonts w:eastAsia="仿宋_GB2312"/>
          <w:sz w:val="32"/>
          <w:szCs w:val="32"/>
        </w:rPr>
        <w:t>，</w:t>
      </w:r>
      <w:r>
        <w:rPr>
          <w:rFonts w:eastAsia="仿宋_GB2312" w:hint="eastAsia"/>
          <w:sz w:val="32"/>
          <w:szCs w:val="32"/>
        </w:rPr>
        <w:t>对于培养学生学习兴趣、创新精神、协作能力、竞争意识等起到重要作用。</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学科竞赛评价是人才培养质量评价指标体系的重要组成部分</w:t>
      </w:r>
      <w:r>
        <w:rPr>
          <w:rFonts w:eastAsia="仿宋_GB2312"/>
          <w:sz w:val="32"/>
          <w:szCs w:val="32"/>
        </w:rPr>
        <w:t>。</w:t>
      </w:r>
      <w:r>
        <w:rPr>
          <w:rFonts w:eastAsia="仿宋_GB2312" w:hint="eastAsia"/>
          <w:sz w:val="32"/>
          <w:szCs w:val="32"/>
        </w:rPr>
        <w:t>通过对学科竞赛进行等级认定，有助于竞赛活动的规范化，同时也是制定竞赛经费预算</w:t>
      </w:r>
      <w:r>
        <w:rPr>
          <w:rFonts w:eastAsia="仿宋_GB2312"/>
          <w:sz w:val="32"/>
          <w:szCs w:val="32"/>
        </w:rPr>
        <w:t>、</w:t>
      </w:r>
      <w:r>
        <w:rPr>
          <w:rFonts w:eastAsia="仿宋_GB2312" w:hint="eastAsia"/>
          <w:sz w:val="32"/>
          <w:szCs w:val="32"/>
        </w:rPr>
        <w:t>对获奖学生和指导教师成果认定以及教学评奖评优和制定激励政策的基本依据</w:t>
      </w:r>
      <w:r>
        <w:rPr>
          <w:rFonts w:eastAsia="仿宋_GB2312"/>
          <w:sz w:val="32"/>
          <w:szCs w:val="32"/>
        </w:rPr>
        <w:t>。</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学科竞赛</w:t>
      </w:r>
      <w:r>
        <w:rPr>
          <w:rFonts w:eastAsia="仿宋_GB2312"/>
          <w:sz w:val="32"/>
          <w:szCs w:val="32"/>
        </w:rPr>
        <w:t>认定以一年为周期，</w:t>
      </w:r>
      <w:r>
        <w:rPr>
          <w:rFonts w:eastAsia="仿宋_GB2312" w:hint="eastAsia"/>
          <w:sz w:val="32"/>
          <w:szCs w:val="32"/>
        </w:rPr>
        <w:t>实行总量控制、动态管理，年度评价，有进有出、优胜劣汰。</w:t>
      </w:r>
    </w:p>
    <w:p w:rsidR="00550285" w:rsidRDefault="00FA58F9">
      <w:pPr>
        <w:spacing w:line="560" w:lineRule="exact"/>
        <w:ind w:firstLineChars="200" w:firstLine="640"/>
        <w:jc w:val="center"/>
        <w:rPr>
          <w:rFonts w:eastAsia="黑体"/>
          <w:sz w:val="32"/>
          <w:szCs w:val="32"/>
        </w:rPr>
      </w:pPr>
      <w:r>
        <w:rPr>
          <w:rFonts w:eastAsia="黑体" w:hint="eastAsia"/>
          <w:sz w:val="32"/>
          <w:szCs w:val="32"/>
        </w:rPr>
        <w:t>二</w:t>
      </w:r>
      <w:r>
        <w:rPr>
          <w:rFonts w:eastAsia="黑体"/>
          <w:sz w:val="32"/>
          <w:szCs w:val="32"/>
        </w:rPr>
        <w:t>、认定</w:t>
      </w:r>
      <w:r>
        <w:rPr>
          <w:rFonts w:eastAsia="黑体" w:hint="eastAsia"/>
          <w:sz w:val="32"/>
          <w:szCs w:val="32"/>
        </w:rPr>
        <w:t>等级</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学科竞赛等</w:t>
      </w:r>
      <w:r>
        <w:rPr>
          <w:rFonts w:eastAsia="仿宋_GB2312"/>
          <w:sz w:val="32"/>
          <w:szCs w:val="32"/>
        </w:rPr>
        <w:t>级</w:t>
      </w:r>
      <w:r>
        <w:rPr>
          <w:rFonts w:eastAsia="仿宋_GB2312" w:hint="eastAsia"/>
          <w:sz w:val="32"/>
          <w:szCs w:val="32"/>
        </w:rPr>
        <w:t>认定，</w:t>
      </w:r>
      <w:r>
        <w:rPr>
          <w:rFonts w:eastAsia="仿宋_GB2312"/>
          <w:sz w:val="32"/>
          <w:szCs w:val="32"/>
        </w:rPr>
        <w:t>主要</w:t>
      </w:r>
      <w:r>
        <w:rPr>
          <w:rFonts w:eastAsia="仿宋_GB2312" w:hint="eastAsia"/>
          <w:sz w:val="32"/>
          <w:szCs w:val="32"/>
        </w:rPr>
        <w:t>综合考虑竞赛的主办单位、国际国内影响力和知名度、参与高校层次、参与</w:t>
      </w:r>
      <w:r>
        <w:rPr>
          <w:rFonts w:eastAsia="仿宋_GB2312"/>
          <w:sz w:val="32"/>
          <w:szCs w:val="32"/>
        </w:rPr>
        <w:t>学生</w:t>
      </w:r>
      <w:r>
        <w:rPr>
          <w:rFonts w:eastAsia="仿宋_GB2312" w:hint="eastAsia"/>
          <w:sz w:val="32"/>
          <w:szCs w:val="32"/>
        </w:rPr>
        <w:t>覆盖面及设奖情况、对学生的能力培养、竞赛组织的稳定性和延续性</w:t>
      </w:r>
      <w:r>
        <w:rPr>
          <w:rFonts w:eastAsia="仿宋_GB2312" w:hint="eastAsia"/>
          <w:sz w:val="32"/>
          <w:szCs w:val="32"/>
        </w:rPr>
        <w:lastRenderedPageBreak/>
        <w:t>等因素。依据学科竞赛的综合影响力，学科竞赛等级分为“省级赛事”和“省级赛事培育”两个认定等级。</w:t>
      </w:r>
    </w:p>
    <w:p w:rsidR="00550285" w:rsidRDefault="00FA58F9">
      <w:pPr>
        <w:spacing w:line="560" w:lineRule="exact"/>
        <w:ind w:firstLineChars="200" w:firstLine="640"/>
        <w:jc w:val="center"/>
        <w:rPr>
          <w:rFonts w:eastAsia="黑体"/>
          <w:sz w:val="32"/>
          <w:szCs w:val="32"/>
        </w:rPr>
      </w:pPr>
      <w:r>
        <w:rPr>
          <w:rFonts w:eastAsia="黑体" w:hint="eastAsia"/>
          <w:sz w:val="32"/>
          <w:szCs w:val="32"/>
        </w:rPr>
        <w:t>三、</w:t>
      </w:r>
      <w:r>
        <w:rPr>
          <w:rFonts w:eastAsia="黑体"/>
          <w:sz w:val="32"/>
          <w:szCs w:val="32"/>
        </w:rPr>
        <w:t>认定</w:t>
      </w:r>
      <w:r>
        <w:rPr>
          <w:rFonts w:eastAsia="黑体" w:hint="eastAsia"/>
          <w:sz w:val="32"/>
          <w:szCs w:val="32"/>
        </w:rPr>
        <w:t>标准</w:t>
      </w:r>
    </w:p>
    <w:p w:rsidR="00550285" w:rsidRDefault="00FA58F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“省级</w:t>
      </w:r>
      <w:r>
        <w:rPr>
          <w:rFonts w:eastAsia="仿宋_GB2312"/>
          <w:sz w:val="32"/>
          <w:szCs w:val="32"/>
        </w:rPr>
        <w:t>赛事</w:t>
      </w:r>
      <w:r>
        <w:rPr>
          <w:rFonts w:eastAsia="仿宋_GB2312" w:hint="eastAsia"/>
          <w:sz w:val="32"/>
          <w:szCs w:val="32"/>
        </w:rPr>
        <w:t>”认定标准</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符合下列条件之一的可以直接认定为省级赛事。</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）由国家教学指导委员会、国家一级行业学会（协会）主办的全国性学科竞赛江苏赛；</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）竞赛举办时间较长，赛事届数长达</w:t>
      </w:r>
      <w:r>
        <w:rPr>
          <w:rFonts w:eastAsia="仿宋_GB2312" w:hint="eastAsia"/>
          <w:sz w:val="32"/>
          <w:szCs w:val="32"/>
        </w:rPr>
        <w:t>10</w:t>
      </w:r>
      <w:r>
        <w:rPr>
          <w:rFonts w:eastAsia="仿宋_GB2312" w:hint="eastAsia"/>
          <w:sz w:val="32"/>
          <w:szCs w:val="32"/>
        </w:rPr>
        <w:t>届以上，承办单位比较稳定，赛制规范、程序严谨，经实践检验组织能力强、效果好的江苏省级范围内的学科竞赛；</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）部分迫切需要的新兴行业或领域的竞赛、根据国家有关法律或政策要求新办的竞赛，或参赛单位覆盖全省</w:t>
      </w:r>
      <w:r>
        <w:rPr>
          <w:rFonts w:eastAsia="仿宋_GB2312" w:hint="eastAsia"/>
          <w:sz w:val="32"/>
          <w:szCs w:val="32"/>
        </w:rPr>
        <w:t>30</w:t>
      </w:r>
      <w:r>
        <w:rPr>
          <w:rFonts w:eastAsia="仿宋_GB2312" w:hint="eastAsia"/>
          <w:sz w:val="32"/>
          <w:szCs w:val="32"/>
        </w:rPr>
        <w:t>所以上高校或具有相关专业高校数的</w:t>
      </w:r>
      <w:r>
        <w:rPr>
          <w:rFonts w:eastAsia="仿宋_GB2312" w:hint="eastAsia"/>
          <w:sz w:val="32"/>
          <w:szCs w:val="32"/>
        </w:rPr>
        <w:t>50%</w:t>
      </w:r>
      <w:r>
        <w:rPr>
          <w:rFonts w:eastAsia="仿宋_GB2312" w:hint="eastAsia"/>
          <w:sz w:val="32"/>
          <w:szCs w:val="32"/>
        </w:rPr>
        <w:t>以上学科竞赛，经过专家评审一致通过的学科竞赛。</w:t>
      </w:r>
    </w:p>
    <w:p w:rsidR="00550285" w:rsidRDefault="00FA58F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“省级</w:t>
      </w:r>
      <w:r>
        <w:rPr>
          <w:rFonts w:eastAsia="仿宋_GB2312"/>
          <w:sz w:val="32"/>
          <w:szCs w:val="32"/>
        </w:rPr>
        <w:t>赛事培育</w:t>
      </w:r>
      <w:r>
        <w:rPr>
          <w:rFonts w:eastAsia="仿宋_GB2312" w:hint="eastAsia"/>
          <w:sz w:val="32"/>
          <w:szCs w:val="32"/>
        </w:rPr>
        <w:t>”认定标准</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符合下列条件，经专家评审可以认定为省级培育赛事。</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）具有一定的学术权威性和业界影响力，参赛单位全省高校覆盖面较广，对学生创新精神、实践能力培养有一定作用；</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）主办单位为省级学术团体、国内知名高校或知名企业等，承办单位相对稳定，经实践检验组织能力较强、效果较好；</w:t>
      </w:r>
    </w:p>
    <w:p w:rsidR="00550285" w:rsidRDefault="00FA58F9">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）较重大</w:t>
      </w:r>
      <w:r>
        <w:rPr>
          <w:rFonts w:eastAsia="仿宋_GB2312"/>
          <w:sz w:val="32"/>
          <w:szCs w:val="32"/>
        </w:rPr>
        <w:t>的</w:t>
      </w:r>
      <w:r>
        <w:rPr>
          <w:rFonts w:eastAsia="仿宋_GB2312" w:hint="eastAsia"/>
          <w:sz w:val="32"/>
          <w:szCs w:val="32"/>
        </w:rPr>
        <w:t>新兴</w:t>
      </w:r>
      <w:r>
        <w:rPr>
          <w:rFonts w:eastAsia="仿宋_GB2312"/>
          <w:sz w:val="32"/>
          <w:szCs w:val="32"/>
        </w:rPr>
        <w:t>行业或领域</w:t>
      </w:r>
      <w:r>
        <w:rPr>
          <w:rFonts w:eastAsia="仿宋_GB2312" w:hint="eastAsia"/>
          <w:sz w:val="32"/>
          <w:szCs w:val="32"/>
        </w:rPr>
        <w:t>的、</w:t>
      </w:r>
      <w:r>
        <w:rPr>
          <w:rFonts w:eastAsia="仿宋_GB2312"/>
          <w:sz w:val="32"/>
          <w:szCs w:val="32"/>
        </w:rPr>
        <w:t>具有</w:t>
      </w:r>
      <w:r>
        <w:rPr>
          <w:rFonts w:eastAsia="仿宋_GB2312" w:hint="eastAsia"/>
          <w:sz w:val="32"/>
          <w:szCs w:val="32"/>
        </w:rPr>
        <w:t>学科</w:t>
      </w:r>
      <w:r>
        <w:rPr>
          <w:rFonts w:eastAsia="仿宋_GB2312"/>
          <w:sz w:val="32"/>
          <w:szCs w:val="32"/>
        </w:rPr>
        <w:t>发展</w:t>
      </w:r>
      <w:r>
        <w:rPr>
          <w:rFonts w:eastAsia="仿宋_GB2312" w:hint="eastAsia"/>
          <w:sz w:val="32"/>
          <w:szCs w:val="32"/>
        </w:rPr>
        <w:t>方向</w:t>
      </w:r>
      <w:r>
        <w:rPr>
          <w:rFonts w:eastAsia="仿宋_GB2312"/>
          <w:sz w:val="32"/>
          <w:szCs w:val="32"/>
        </w:rPr>
        <w:t>前沿性</w:t>
      </w:r>
      <w:r>
        <w:rPr>
          <w:rFonts w:eastAsia="仿宋_GB2312" w:hint="eastAsia"/>
          <w:sz w:val="32"/>
          <w:szCs w:val="32"/>
        </w:rPr>
        <w:t>的</w:t>
      </w:r>
      <w:r>
        <w:rPr>
          <w:rFonts w:eastAsia="仿宋_GB2312"/>
          <w:sz w:val="32"/>
          <w:szCs w:val="32"/>
        </w:rPr>
        <w:t>学科竞赛</w:t>
      </w:r>
      <w:r>
        <w:rPr>
          <w:rFonts w:eastAsia="仿宋_GB2312" w:hint="eastAsia"/>
          <w:sz w:val="32"/>
          <w:szCs w:val="32"/>
        </w:rPr>
        <w:t>，或根据</w:t>
      </w:r>
      <w:r>
        <w:rPr>
          <w:rFonts w:eastAsia="仿宋_GB2312"/>
          <w:sz w:val="32"/>
          <w:szCs w:val="32"/>
        </w:rPr>
        <w:t>国家</w:t>
      </w:r>
      <w:r>
        <w:rPr>
          <w:rFonts w:eastAsia="仿宋_GB2312" w:hint="eastAsia"/>
          <w:sz w:val="32"/>
          <w:szCs w:val="32"/>
        </w:rPr>
        <w:t>及</w:t>
      </w:r>
      <w:r>
        <w:rPr>
          <w:rFonts w:eastAsia="仿宋_GB2312"/>
          <w:sz w:val="32"/>
          <w:szCs w:val="32"/>
        </w:rPr>
        <w:t>地方有关</w:t>
      </w:r>
      <w:r>
        <w:rPr>
          <w:rFonts w:eastAsia="仿宋_GB2312" w:hint="eastAsia"/>
          <w:sz w:val="32"/>
          <w:szCs w:val="32"/>
        </w:rPr>
        <w:t>法律或</w:t>
      </w:r>
      <w:r>
        <w:rPr>
          <w:rFonts w:eastAsia="仿宋_GB2312"/>
          <w:sz w:val="32"/>
          <w:szCs w:val="32"/>
        </w:rPr>
        <w:t>政策</w:t>
      </w:r>
      <w:r>
        <w:rPr>
          <w:rFonts w:eastAsia="仿宋_GB2312" w:hint="eastAsia"/>
          <w:sz w:val="32"/>
          <w:szCs w:val="32"/>
        </w:rPr>
        <w:t>要求</w:t>
      </w:r>
      <w:r>
        <w:rPr>
          <w:rFonts w:eastAsia="仿宋_GB2312" w:hint="eastAsia"/>
          <w:sz w:val="32"/>
          <w:szCs w:val="32"/>
        </w:rPr>
        <w:lastRenderedPageBreak/>
        <w:t>新办</w:t>
      </w:r>
      <w:r>
        <w:rPr>
          <w:rFonts w:eastAsia="仿宋_GB2312"/>
          <w:sz w:val="32"/>
          <w:szCs w:val="32"/>
        </w:rPr>
        <w:t>的</w:t>
      </w:r>
      <w:r>
        <w:rPr>
          <w:rFonts w:eastAsia="仿宋_GB2312" w:hint="eastAsia"/>
          <w:sz w:val="32"/>
          <w:szCs w:val="32"/>
        </w:rPr>
        <w:t>、</w:t>
      </w:r>
      <w:r>
        <w:rPr>
          <w:rFonts w:eastAsia="仿宋_GB2312"/>
          <w:sz w:val="32"/>
          <w:szCs w:val="32"/>
        </w:rPr>
        <w:t>具有引领性的竞赛</w:t>
      </w:r>
      <w:r>
        <w:rPr>
          <w:rFonts w:eastAsia="仿宋_GB2312" w:hint="eastAsia"/>
          <w:sz w:val="32"/>
          <w:szCs w:val="32"/>
        </w:rPr>
        <w:t>。</w:t>
      </w:r>
    </w:p>
    <w:p w:rsidR="00550285" w:rsidRDefault="00FA58F9">
      <w:pPr>
        <w:spacing w:line="560" w:lineRule="exact"/>
        <w:ind w:firstLineChars="200" w:firstLine="640"/>
        <w:jc w:val="center"/>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认定程序</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学科竞赛认定程序分为评审认定和直接认定两种类型。</w:t>
      </w:r>
    </w:p>
    <w:p w:rsidR="00550285" w:rsidRDefault="00FA58F9">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评审认定</w:t>
      </w:r>
    </w:p>
    <w:p w:rsidR="00550285" w:rsidRDefault="00FA58F9">
      <w:pPr>
        <w:spacing w:line="560" w:lineRule="exact"/>
        <w:ind w:firstLineChars="200" w:firstLine="640"/>
        <w:rPr>
          <w:rFonts w:eastAsia="仿宋_GB2312"/>
          <w:sz w:val="32"/>
          <w:szCs w:val="32"/>
        </w:rPr>
      </w:pPr>
      <w:r>
        <w:rPr>
          <w:rFonts w:eastAsia="仿宋_GB2312" w:hint="eastAsia"/>
          <w:sz w:val="32"/>
          <w:szCs w:val="32"/>
        </w:rPr>
        <w:t>根据《省教育厅办公室关于组织</w:t>
      </w:r>
      <w:r>
        <w:rPr>
          <w:rFonts w:eastAsia="仿宋_GB2312" w:hint="eastAsia"/>
          <w:sz w:val="32"/>
          <w:szCs w:val="32"/>
        </w:rPr>
        <w:t>2019</w:t>
      </w:r>
      <w:r>
        <w:rPr>
          <w:rFonts w:eastAsia="仿宋_GB2312" w:hint="eastAsia"/>
          <w:sz w:val="32"/>
          <w:szCs w:val="32"/>
        </w:rPr>
        <w:t>年全省普通高校本专科生学科竞赛申报工作的通知》（苏教办高函〔</w:t>
      </w:r>
      <w:r>
        <w:rPr>
          <w:rFonts w:eastAsia="仿宋_GB2312" w:hint="eastAsia"/>
          <w:sz w:val="32"/>
          <w:szCs w:val="32"/>
        </w:rPr>
        <w:t>2018</w:t>
      </w:r>
      <w:r>
        <w:rPr>
          <w:rFonts w:eastAsia="仿宋_GB2312" w:hint="eastAsia"/>
          <w:sz w:val="32"/>
          <w:szCs w:val="32"/>
        </w:rPr>
        <w:t>〕</w:t>
      </w:r>
      <w:r>
        <w:rPr>
          <w:rFonts w:eastAsia="仿宋_GB2312" w:hint="eastAsia"/>
          <w:sz w:val="32"/>
          <w:szCs w:val="32"/>
        </w:rPr>
        <w:t>47</w:t>
      </w:r>
      <w:r>
        <w:rPr>
          <w:rFonts w:eastAsia="仿宋_GB2312" w:hint="eastAsia"/>
          <w:sz w:val="32"/>
          <w:szCs w:val="32"/>
        </w:rPr>
        <w:t>号），我省学科竞赛认定面向全省实施申报制，由主办单位或承办单位报送书面和电子材料。我省省级赛事等级认定范围为省内单位申报、经审核后材料齐全的申报项目。今后</w:t>
      </w:r>
      <w:r>
        <w:rPr>
          <w:rFonts w:eastAsia="仿宋_GB2312"/>
          <w:sz w:val="32"/>
          <w:szCs w:val="32"/>
        </w:rPr>
        <w:t>，每年将由</w:t>
      </w:r>
      <w:r>
        <w:rPr>
          <w:rFonts w:eastAsia="仿宋_GB2312" w:hint="eastAsia"/>
          <w:sz w:val="32"/>
          <w:szCs w:val="32"/>
        </w:rPr>
        <w:t>江苏省高等教育学会</w:t>
      </w:r>
      <w:r>
        <w:rPr>
          <w:rFonts w:eastAsia="仿宋_GB2312"/>
          <w:sz w:val="32"/>
          <w:szCs w:val="32"/>
        </w:rPr>
        <w:t>发布</w:t>
      </w:r>
      <w:r>
        <w:rPr>
          <w:rFonts w:eastAsia="仿宋_GB2312" w:hint="eastAsia"/>
          <w:sz w:val="32"/>
          <w:szCs w:val="32"/>
        </w:rPr>
        <w:t>学科竞赛</w:t>
      </w:r>
      <w:r>
        <w:rPr>
          <w:rFonts w:eastAsia="仿宋_GB2312"/>
          <w:sz w:val="32"/>
          <w:szCs w:val="32"/>
        </w:rPr>
        <w:t>申报通知</w:t>
      </w:r>
      <w:r>
        <w:rPr>
          <w:rFonts w:eastAsia="仿宋_GB2312" w:hint="eastAsia"/>
          <w:sz w:val="32"/>
          <w:szCs w:val="32"/>
        </w:rPr>
        <w:t>，</w:t>
      </w:r>
      <w:r>
        <w:rPr>
          <w:rFonts w:eastAsia="仿宋_GB2312"/>
          <w:sz w:val="32"/>
          <w:szCs w:val="32"/>
        </w:rPr>
        <w:t>请各高校和单位</w:t>
      </w:r>
      <w:r>
        <w:rPr>
          <w:rFonts w:eastAsia="仿宋_GB2312" w:hint="eastAsia"/>
          <w:sz w:val="32"/>
          <w:szCs w:val="32"/>
        </w:rPr>
        <w:t>按要求</w:t>
      </w:r>
      <w:r>
        <w:rPr>
          <w:rFonts w:eastAsia="仿宋_GB2312"/>
          <w:sz w:val="32"/>
          <w:szCs w:val="32"/>
        </w:rPr>
        <w:t>组织申报工作</w:t>
      </w:r>
      <w:r>
        <w:rPr>
          <w:rFonts w:eastAsia="仿宋_GB2312" w:hint="eastAsia"/>
          <w:sz w:val="32"/>
          <w:szCs w:val="32"/>
        </w:rPr>
        <w:t>，学会组织专家评审认定后公布。</w:t>
      </w:r>
    </w:p>
    <w:p w:rsidR="00550285" w:rsidRDefault="00FA58F9">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直接认定</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全国赛事可参考中国高等教育学会发布的中国高校创新人才培养暨学科竞赛项目，见附表</w:t>
      </w:r>
      <w:r>
        <w:rPr>
          <w:rFonts w:eastAsia="仿宋_GB2312"/>
          <w:sz w:val="32"/>
          <w:szCs w:val="32"/>
        </w:rPr>
        <w:t>1</w:t>
      </w:r>
      <w:r>
        <w:rPr>
          <w:rFonts w:eastAsia="仿宋_GB2312" w:hint="eastAsia"/>
          <w:sz w:val="32"/>
          <w:szCs w:val="32"/>
        </w:rPr>
        <w:t>。承接以上竞赛项目的省赛直接予以认定省级。</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由省委省政府及相关部门和省级学会等单位组织的具有</w:t>
      </w:r>
      <w:r>
        <w:rPr>
          <w:rFonts w:eastAsia="仿宋_GB2312"/>
          <w:sz w:val="32"/>
          <w:szCs w:val="32"/>
        </w:rPr>
        <w:t>权威性</w:t>
      </w:r>
      <w:r>
        <w:rPr>
          <w:rFonts w:eastAsia="仿宋_GB2312" w:hint="eastAsia"/>
          <w:sz w:val="32"/>
          <w:szCs w:val="32"/>
        </w:rPr>
        <w:t>、影响</w:t>
      </w:r>
      <w:r>
        <w:rPr>
          <w:rFonts w:eastAsia="仿宋_GB2312"/>
          <w:sz w:val="32"/>
          <w:szCs w:val="32"/>
        </w:rPr>
        <w:t>力的</w:t>
      </w:r>
      <w:r>
        <w:rPr>
          <w:rFonts w:eastAsia="仿宋_GB2312" w:hint="eastAsia"/>
          <w:sz w:val="32"/>
          <w:szCs w:val="32"/>
        </w:rPr>
        <w:t>竞赛项目，见附表</w:t>
      </w:r>
      <w:r>
        <w:rPr>
          <w:rFonts w:eastAsia="仿宋_GB2312" w:hint="eastAsia"/>
          <w:sz w:val="32"/>
          <w:szCs w:val="32"/>
        </w:rPr>
        <w:t>2</w:t>
      </w:r>
      <w:r>
        <w:rPr>
          <w:rFonts w:eastAsia="仿宋_GB2312" w:hint="eastAsia"/>
          <w:sz w:val="32"/>
          <w:szCs w:val="32"/>
        </w:rPr>
        <w:t>。以上竞赛项目直接予以认定省级。</w:t>
      </w:r>
    </w:p>
    <w:p w:rsidR="00550285" w:rsidRDefault="00FA58F9">
      <w:pPr>
        <w:spacing w:line="560" w:lineRule="exact"/>
        <w:ind w:firstLineChars="200" w:firstLine="640"/>
        <w:jc w:val="center"/>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动态</w:t>
      </w:r>
      <w:r>
        <w:rPr>
          <w:rFonts w:eastAsia="黑体"/>
          <w:sz w:val="32"/>
          <w:szCs w:val="32"/>
        </w:rPr>
        <w:t>管理</w:t>
      </w:r>
    </w:p>
    <w:p w:rsidR="00550285" w:rsidRDefault="00FA58F9">
      <w:pPr>
        <w:spacing w:line="560" w:lineRule="exact"/>
        <w:ind w:firstLineChars="200" w:firstLine="640"/>
        <w:rPr>
          <w:rFonts w:eastAsia="仿宋_GB2312"/>
          <w:sz w:val="32"/>
          <w:szCs w:val="32"/>
        </w:rPr>
      </w:pPr>
      <w:r>
        <w:rPr>
          <w:rFonts w:eastAsia="仿宋_GB2312" w:hint="eastAsia"/>
          <w:sz w:val="32"/>
          <w:szCs w:val="32"/>
        </w:rPr>
        <w:t>对评审认定</w:t>
      </w:r>
      <w:r>
        <w:rPr>
          <w:rFonts w:eastAsia="仿宋_GB2312"/>
          <w:sz w:val="32"/>
          <w:szCs w:val="32"/>
        </w:rPr>
        <w:t>的竞赛</w:t>
      </w:r>
      <w:r>
        <w:rPr>
          <w:rFonts w:eastAsia="仿宋_GB2312" w:hint="eastAsia"/>
          <w:sz w:val="32"/>
          <w:szCs w:val="32"/>
        </w:rPr>
        <w:t>项目实施</w:t>
      </w:r>
      <w:r>
        <w:rPr>
          <w:rFonts w:eastAsia="仿宋_GB2312"/>
          <w:sz w:val="32"/>
          <w:szCs w:val="32"/>
        </w:rPr>
        <w:t>滚动申报</w:t>
      </w:r>
      <w:r>
        <w:rPr>
          <w:rFonts w:eastAsia="仿宋_GB2312" w:hint="eastAsia"/>
          <w:sz w:val="32"/>
          <w:szCs w:val="32"/>
        </w:rPr>
        <w:t>和</w:t>
      </w:r>
      <w:r>
        <w:rPr>
          <w:rFonts w:eastAsia="仿宋_GB2312"/>
          <w:sz w:val="32"/>
          <w:szCs w:val="32"/>
        </w:rPr>
        <w:t>过程管理</w:t>
      </w:r>
      <w:r>
        <w:rPr>
          <w:rFonts w:eastAsia="仿宋_GB2312" w:hint="eastAsia"/>
          <w:sz w:val="32"/>
          <w:szCs w:val="32"/>
        </w:rPr>
        <w:t>的</w:t>
      </w:r>
      <w:r>
        <w:rPr>
          <w:rFonts w:eastAsia="仿宋_GB2312"/>
          <w:sz w:val="32"/>
          <w:szCs w:val="32"/>
        </w:rPr>
        <w:t>办法。</w:t>
      </w:r>
      <w:r>
        <w:rPr>
          <w:rFonts w:eastAsia="仿宋_GB2312" w:hint="eastAsia"/>
          <w:sz w:val="32"/>
          <w:szCs w:val="32"/>
        </w:rPr>
        <w:t>已经</w:t>
      </w:r>
      <w:r>
        <w:rPr>
          <w:rFonts w:eastAsia="仿宋_GB2312"/>
          <w:sz w:val="32"/>
          <w:szCs w:val="32"/>
        </w:rPr>
        <w:t>进入</w:t>
      </w:r>
      <w:r>
        <w:rPr>
          <w:rFonts w:eastAsia="仿宋_GB2312" w:hint="eastAsia"/>
          <w:sz w:val="32"/>
          <w:szCs w:val="32"/>
        </w:rPr>
        <w:t>本年度省级赛事认定</w:t>
      </w:r>
      <w:r>
        <w:rPr>
          <w:rFonts w:eastAsia="仿宋_GB2312"/>
          <w:sz w:val="32"/>
          <w:szCs w:val="32"/>
        </w:rPr>
        <w:t>和培育级别的项目，</w:t>
      </w:r>
      <w:r>
        <w:rPr>
          <w:rFonts w:eastAsia="仿宋_GB2312" w:hint="eastAsia"/>
          <w:sz w:val="32"/>
          <w:szCs w:val="32"/>
        </w:rPr>
        <w:t>需</w:t>
      </w:r>
      <w:r>
        <w:rPr>
          <w:rFonts w:eastAsia="仿宋_GB2312"/>
          <w:sz w:val="32"/>
          <w:szCs w:val="32"/>
        </w:rPr>
        <w:t>在年底及时填报</w:t>
      </w:r>
      <w:r>
        <w:rPr>
          <w:rFonts w:eastAsia="仿宋_GB2312" w:hint="eastAsia"/>
          <w:sz w:val="32"/>
          <w:szCs w:val="32"/>
        </w:rPr>
        <w:t>省级</w:t>
      </w:r>
      <w:r>
        <w:rPr>
          <w:rFonts w:eastAsia="仿宋_GB2312"/>
          <w:sz w:val="32"/>
          <w:szCs w:val="32"/>
        </w:rPr>
        <w:t>大学生</w:t>
      </w:r>
      <w:r>
        <w:rPr>
          <w:rFonts w:eastAsia="仿宋_GB2312" w:hint="eastAsia"/>
          <w:sz w:val="32"/>
          <w:szCs w:val="32"/>
        </w:rPr>
        <w:t>竞赛</w:t>
      </w:r>
      <w:r>
        <w:rPr>
          <w:rFonts w:eastAsia="仿宋_GB2312"/>
          <w:sz w:val="32"/>
          <w:szCs w:val="32"/>
        </w:rPr>
        <w:t>总结表</w:t>
      </w:r>
      <w:r>
        <w:rPr>
          <w:rFonts w:eastAsia="仿宋_GB2312" w:hint="eastAsia"/>
          <w:sz w:val="32"/>
          <w:szCs w:val="32"/>
        </w:rPr>
        <w:t>（</w:t>
      </w:r>
      <w:r>
        <w:rPr>
          <w:rFonts w:eastAsia="仿宋_GB2312"/>
          <w:sz w:val="32"/>
          <w:szCs w:val="32"/>
        </w:rPr>
        <w:t>见</w:t>
      </w:r>
      <w:r>
        <w:rPr>
          <w:rFonts w:eastAsia="仿宋_GB2312" w:hint="eastAsia"/>
          <w:sz w:val="32"/>
          <w:szCs w:val="32"/>
        </w:rPr>
        <w:t>附</w:t>
      </w:r>
      <w:r>
        <w:rPr>
          <w:rFonts w:eastAsia="仿宋_GB2312"/>
          <w:sz w:val="32"/>
          <w:szCs w:val="32"/>
        </w:rPr>
        <w:t>表</w:t>
      </w:r>
      <w:r>
        <w:rPr>
          <w:rFonts w:eastAsia="仿宋_GB2312"/>
          <w:sz w:val="32"/>
          <w:szCs w:val="32"/>
        </w:rPr>
        <w:t>3</w:t>
      </w:r>
      <w:r>
        <w:rPr>
          <w:rFonts w:eastAsia="仿宋_GB2312" w:hint="eastAsia"/>
          <w:sz w:val="32"/>
          <w:szCs w:val="32"/>
        </w:rPr>
        <w:t>）。经过学会审核通过后将直接</w:t>
      </w:r>
      <w:r>
        <w:rPr>
          <w:rFonts w:eastAsia="仿宋_GB2312"/>
          <w:sz w:val="32"/>
          <w:szCs w:val="32"/>
        </w:rPr>
        <w:t>进入下一年度</w:t>
      </w:r>
      <w:r>
        <w:rPr>
          <w:rFonts w:eastAsia="仿宋_GB2312" w:hint="eastAsia"/>
          <w:sz w:val="32"/>
          <w:szCs w:val="32"/>
        </w:rPr>
        <w:t>学科</w:t>
      </w:r>
      <w:r>
        <w:rPr>
          <w:rFonts w:eastAsia="仿宋_GB2312"/>
          <w:sz w:val="32"/>
          <w:szCs w:val="32"/>
        </w:rPr>
        <w:t>竞赛</w:t>
      </w:r>
      <w:r>
        <w:rPr>
          <w:rFonts w:eastAsia="仿宋_GB2312" w:hint="eastAsia"/>
          <w:sz w:val="32"/>
          <w:szCs w:val="32"/>
        </w:rPr>
        <w:t>省级</w:t>
      </w:r>
      <w:r>
        <w:rPr>
          <w:rFonts w:eastAsia="仿宋_GB2312"/>
          <w:sz w:val="32"/>
          <w:szCs w:val="32"/>
        </w:rPr>
        <w:t>赛事</w:t>
      </w:r>
      <w:r>
        <w:rPr>
          <w:rFonts w:eastAsia="仿宋_GB2312" w:hint="eastAsia"/>
          <w:sz w:val="32"/>
          <w:szCs w:val="32"/>
        </w:rPr>
        <w:t>评审</w:t>
      </w:r>
      <w:r>
        <w:rPr>
          <w:rFonts w:eastAsia="仿宋_GB2312"/>
          <w:sz w:val="32"/>
          <w:szCs w:val="32"/>
        </w:rPr>
        <w:t>认</w:t>
      </w:r>
      <w:r>
        <w:rPr>
          <w:rFonts w:eastAsia="仿宋_GB2312"/>
          <w:sz w:val="32"/>
          <w:szCs w:val="32"/>
        </w:rPr>
        <w:lastRenderedPageBreak/>
        <w:t>定</w:t>
      </w:r>
      <w:r>
        <w:rPr>
          <w:rFonts w:eastAsia="仿宋_GB2312" w:hint="eastAsia"/>
          <w:sz w:val="32"/>
          <w:szCs w:val="32"/>
        </w:rPr>
        <w:t>的范围</w:t>
      </w:r>
      <w:r>
        <w:rPr>
          <w:rFonts w:eastAsia="仿宋_GB2312"/>
          <w:sz w:val="32"/>
          <w:szCs w:val="32"/>
        </w:rPr>
        <w:t>，无需另行申报。</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直接认定</w:t>
      </w:r>
      <w:r>
        <w:rPr>
          <w:rFonts w:eastAsia="仿宋_GB2312"/>
          <w:sz w:val="32"/>
          <w:szCs w:val="32"/>
        </w:rPr>
        <w:t>的竞赛目录</w:t>
      </w:r>
      <w:r>
        <w:rPr>
          <w:rFonts w:eastAsia="仿宋_GB2312" w:hint="eastAsia"/>
          <w:sz w:val="32"/>
          <w:szCs w:val="32"/>
        </w:rPr>
        <w:t>，即国家级赛事和省级赛事名单</w:t>
      </w:r>
      <w:r>
        <w:rPr>
          <w:rFonts w:eastAsia="仿宋_GB2312"/>
          <w:sz w:val="32"/>
          <w:szCs w:val="32"/>
        </w:rPr>
        <w:t>，</w:t>
      </w:r>
      <w:r>
        <w:rPr>
          <w:rFonts w:eastAsia="仿宋_GB2312" w:hint="eastAsia"/>
          <w:sz w:val="32"/>
          <w:szCs w:val="32"/>
        </w:rPr>
        <w:t>将</w:t>
      </w:r>
      <w:r>
        <w:rPr>
          <w:rFonts w:eastAsia="仿宋_GB2312"/>
          <w:sz w:val="32"/>
          <w:szCs w:val="32"/>
        </w:rPr>
        <w:t>根据</w:t>
      </w:r>
      <w:r>
        <w:rPr>
          <w:rFonts w:eastAsia="仿宋_GB2312" w:hint="eastAsia"/>
          <w:sz w:val="32"/>
          <w:szCs w:val="32"/>
        </w:rPr>
        <w:t>客观实际</w:t>
      </w:r>
      <w:r>
        <w:rPr>
          <w:rFonts w:eastAsia="仿宋_GB2312"/>
          <w:sz w:val="32"/>
          <w:szCs w:val="32"/>
        </w:rPr>
        <w:t>情况</w:t>
      </w:r>
      <w:r>
        <w:rPr>
          <w:rFonts w:eastAsia="仿宋_GB2312" w:hint="eastAsia"/>
          <w:sz w:val="32"/>
          <w:szCs w:val="32"/>
        </w:rPr>
        <w:t>予以及时</w:t>
      </w:r>
      <w:r>
        <w:rPr>
          <w:rFonts w:eastAsia="仿宋_GB2312"/>
          <w:sz w:val="32"/>
          <w:szCs w:val="32"/>
        </w:rPr>
        <w:t>调整</w:t>
      </w:r>
      <w:r>
        <w:rPr>
          <w:rFonts w:eastAsia="仿宋_GB2312" w:hint="eastAsia"/>
          <w:sz w:val="32"/>
          <w:szCs w:val="32"/>
        </w:rPr>
        <w:t>，</w:t>
      </w:r>
      <w:r>
        <w:rPr>
          <w:rFonts w:eastAsia="仿宋_GB2312"/>
          <w:sz w:val="32"/>
          <w:szCs w:val="32"/>
        </w:rPr>
        <w:t>每年与评审认定</w:t>
      </w:r>
      <w:r>
        <w:rPr>
          <w:rFonts w:eastAsia="仿宋_GB2312" w:hint="eastAsia"/>
          <w:sz w:val="32"/>
          <w:szCs w:val="32"/>
        </w:rPr>
        <w:t>的</w:t>
      </w:r>
      <w:r>
        <w:rPr>
          <w:rFonts w:eastAsia="仿宋_GB2312"/>
          <w:sz w:val="32"/>
          <w:szCs w:val="32"/>
        </w:rPr>
        <w:t>竞赛</w:t>
      </w:r>
      <w:r>
        <w:rPr>
          <w:rFonts w:eastAsia="仿宋_GB2312" w:hint="eastAsia"/>
          <w:sz w:val="32"/>
          <w:szCs w:val="32"/>
        </w:rPr>
        <w:t>项目</w:t>
      </w:r>
      <w:r>
        <w:rPr>
          <w:rFonts w:eastAsia="仿宋_GB2312"/>
          <w:sz w:val="32"/>
          <w:szCs w:val="32"/>
        </w:rPr>
        <w:t>一并发布</w:t>
      </w:r>
      <w:r>
        <w:rPr>
          <w:rFonts w:eastAsia="仿宋_GB2312" w:hint="eastAsia"/>
          <w:sz w:val="32"/>
          <w:szCs w:val="32"/>
        </w:rPr>
        <w:t>，以进一步完善国家</w:t>
      </w:r>
      <w:r>
        <w:rPr>
          <w:rFonts w:eastAsia="仿宋_GB2312" w:hint="eastAsia"/>
          <w:sz w:val="32"/>
          <w:szCs w:val="32"/>
        </w:rPr>
        <w:t>-</w:t>
      </w:r>
      <w:r>
        <w:rPr>
          <w:rFonts w:eastAsia="仿宋_GB2312" w:hint="eastAsia"/>
          <w:sz w:val="32"/>
          <w:szCs w:val="32"/>
        </w:rPr>
        <w:t>省</w:t>
      </w:r>
      <w:r>
        <w:rPr>
          <w:rFonts w:eastAsia="仿宋_GB2312" w:hint="eastAsia"/>
          <w:sz w:val="32"/>
          <w:szCs w:val="32"/>
        </w:rPr>
        <w:t>-</w:t>
      </w:r>
      <w:r>
        <w:rPr>
          <w:rFonts w:eastAsia="仿宋_GB2312" w:hint="eastAsia"/>
          <w:sz w:val="32"/>
          <w:szCs w:val="32"/>
        </w:rPr>
        <w:t>校三级竞赛管理体系。</w:t>
      </w:r>
    </w:p>
    <w:p w:rsidR="00550285" w:rsidRDefault="00FA58F9">
      <w:pPr>
        <w:spacing w:line="560" w:lineRule="exact"/>
        <w:ind w:firstLineChars="200" w:firstLine="640"/>
        <w:jc w:val="center"/>
        <w:rPr>
          <w:rFonts w:eastAsia="黑体"/>
          <w:sz w:val="32"/>
          <w:szCs w:val="32"/>
        </w:rPr>
      </w:pPr>
      <w:r>
        <w:rPr>
          <w:rFonts w:eastAsia="黑体" w:hint="eastAsia"/>
          <w:sz w:val="32"/>
          <w:szCs w:val="32"/>
        </w:rPr>
        <w:t>六、</w:t>
      </w:r>
      <w:r>
        <w:rPr>
          <w:rFonts w:eastAsia="黑体"/>
          <w:sz w:val="32"/>
          <w:szCs w:val="32"/>
        </w:rPr>
        <w:t>结果使用</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竞赛等级是学校和院系单位编制学科竞赛经费预算、获奖学生创新学分转换、指导教师成果认定、教学评奖评优的参考依据。</w:t>
      </w:r>
    </w:p>
    <w:p w:rsidR="00550285" w:rsidRDefault="00FA58F9">
      <w:pPr>
        <w:spacing w:line="560" w:lineRule="exact"/>
        <w:ind w:firstLineChars="200" w:firstLine="640"/>
        <w:rPr>
          <w:rFonts w:eastAsia="仿宋_GB2312"/>
          <w:sz w:val="32"/>
          <w:szCs w:val="32"/>
        </w:rPr>
      </w:pPr>
      <w:r>
        <w:rPr>
          <w:rFonts w:eastAsia="仿宋_GB2312" w:hint="eastAsia"/>
          <w:sz w:val="32"/>
          <w:szCs w:val="32"/>
        </w:rPr>
        <w:t>竞赛等级</w:t>
      </w:r>
      <w:r>
        <w:rPr>
          <w:rFonts w:eastAsia="仿宋_GB2312"/>
          <w:sz w:val="32"/>
          <w:szCs w:val="32"/>
        </w:rPr>
        <w:t>认定结果，要充分发挥</w:t>
      </w:r>
      <w:r>
        <w:rPr>
          <w:rFonts w:eastAsia="仿宋_GB2312" w:hint="eastAsia"/>
          <w:sz w:val="32"/>
          <w:szCs w:val="32"/>
        </w:rPr>
        <w:t>竞赛在教育教学综合</w:t>
      </w:r>
      <w:r>
        <w:rPr>
          <w:rFonts w:eastAsia="仿宋_GB2312"/>
          <w:sz w:val="32"/>
          <w:szCs w:val="32"/>
        </w:rPr>
        <w:t>评价</w:t>
      </w:r>
      <w:r>
        <w:rPr>
          <w:rFonts w:eastAsia="仿宋_GB2312" w:hint="eastAsia"/>
          <w:sz w:val="32"/>
          <w:szCs w:val="32"/>
        </w:rPr>
        <w:t>中的积极</w:t>
      </w:r>
      <w:r>
        <w:rPr>
          <w:rFonts w:eastAsia="仿宋_GB2312"/>
          <w:sz w:val="32"/>
          <w:szCs w:val="32"/>
        </w:rPr>
        <w:t>作用，</w:t>
      </w:r>
      <w:r>
        <w:rPr>
          <w:rFonts w:eastAsia="仿宋_GB2312" w:hint="eastAsia"/>
          <w:sz w:val="32"/>
          <w:szCs w:val="32"/>
        </w:rPr>
        <w:t>进一步激发学生、教师参与学科</w:t>
      </w:r>
      <w:r>
        <w:rPr>
          <w:rFonts w:eastAsia="仿宋_GB2312"/>
          <w:sz w:val="32"/>
          <w:szCs w:val="32"/>
        </w:rPr>
        <w:t>竞赛的</w:t>
      </w:r>
      <w:r>
        <w:rPr>
          <w:rFonts w:eastAsia="仿宋_GB2312" w:hint="eastAsia"/>
          <w:sz w:val="32"/>
          <w:szCs w:val="32"/>
        </w:rPr>
        <w:t>积极性，提高学科竞赛对人才培养的促进作用，更加科学、规范地推动学科竞赛的开展。</w:t>
      </w:r>
    </w:p>
    <w:p w:rsidR="00550285" w:rsidRDefault="00550285">
      <w:pPr>
        <w:spacing w:line="560" w:lineRule="exact"/>
        <w:ind w:firstLineChars="200" w:firstLine="640"/>
        <w:rPr>
          <w:rFonts w:eastAsia="仿宋_GB2312"/>
          <w:sz w:val="32"/>
          <w:szCs w:val="32"/>
        </w:rPr>
      </w:pPr>
    </w:p>
    <w:p w:rsidR="00550285" w:rsidRDefault="00FA58F9">
      <w:pPr>
        <w:spacing w:line="560" w:lineRule="exact"/>
        <w:ind w:firstLineChars="200" w:firstLine="640"/>
        <w:jc w:val="right"/>
        <w:rPr>
          <w:rFonts w:eastAsia="仿宋_GB2312"/>
          <w:sz w:val="32"/>
          <w:szCs w:val="32"/>
        </w:rPr>
      </w:pPr>
      <w:r>
        <w:rPr>
          <w:rFonts w:eastAsia="仿宋_GB2312" w:hint="eastAsia"/>
          <w:sz w:val="32"/>
          <w:szCs w:val="32"/>
        </w:rPr>
        <w:t>江苏省</w:t>
      </w:r>
      <w:r>
        <w:rPr>
          <w:rFonts w:eastAsia="仿宋_GB2312"/>
          <w:sz w:val="32"/>
          <w:szCs w:val="32"/>
        </w:rPr>
        <w:t>高等教育学会</w:t>
      </w:r>
    </w:p>
    <w:p w:rsidR="00550285" w:rsidRDefault="00FA58F9">
      <w:pPr>
        <w:spacing w:line="560" w:lineRule="exact"/>
        <w:ind w:firstLineChars="200" w:firstLine="640"/>
        <w:jc w:val="right"/>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20</w:t>
      </w:r>
      <w:r>
        <w:rPr>
          <w:rFonts w:eastAsia="仿宋_GB2312" w:hint="eastAsia"/>
          <w:sz w:val="32"/>
          <w:szCs w:val="32"/>
        </w:rPr>
        <w:t>日</w:t>
      </w:r>
    </w:p>
    <w:p w:rsidR="00550285" w:rsidRDefault="00FA58F9">
      <w:pPr>
        <w:widowControl/>
        <w:jc w:val="left"/>
        <w:rPr>
          <w:rFonts w:eastAsia="仿宋_GB2312"/>
          <w:sz w:val="32"/>
          <w:szCs w:val="32"/>
        </w:rPr>
      </w:pPr>
      <w:r>
        <w:rPr>
          <w:rFonts w:eastAsia="仿宋_GB2312"/>
          <w:sz w:val="32"/>
          <w:szCs w:val="32"/>
        </w:rPr>
        <w:br w:type="page"/>
      </w:r>
    </w:p>
    <w:p w:rsidR="00550285" w:rsidRDefault="00550285">
      <w:pPr>
        <w:spacing w:line="560" w:lineRule="exact"/>
        <w:ind w:firstLineChars="200" w:firstLine="640"/>
        <w:jc w:val="right"/>
        <w:rPr>
          <w:rFonts w:eastAsia="仿宋_GB2312"/>
          <w:sz w:val="32"/>
          <w:szCs w:val="32"/>
        </w:rPr>
      </w:pPr>
    </w:p>
    <w:p w:rsidR="00550285" w:rsidRDefault="00FA58F9">
      <w:pPr>
        <w:spacing w:beforeLines="50" w:before="156"/>
        <w:jc w:val="center"/>
        <w:rPr>
          <w:rFonts w:ascii="楷体" w:eastAsia="楷体" w:hAnsi="楷体"/>
          <w:b/>
          <w:sz w:val="28"/>
          <w:szCs w:val="28"/>
        </w:rPr>
      </w:pPr>
      <w:r>
        <w:rPr>
          <w:rFonts w:ascii="楷体" w:eastAsia="楷体" w:hAnsi="楷体" w:hint="eastAsia"/>
          <w:b/>
          <w:sz w:val="28"/>
          <w:szCs w:val="28"/>
        </w:rPr>
        <w:t>附表1  中国高校创新人才培养暨学科竞赛项目</w:t>
      </w:r>
    </w:p>
    <w:tbl>
      <w:tblPr>
        <w:tblStyle w:val="a5"/>
        <w:tblW w:w="8926" w:type="dxa"/>
        <w:jc w:val="center"/>
        <w:tblLayout w:type="fixed"/>
        <w:tblLook w:val="04A0" w:firstRow="1" w:lastRow="0" w:firstColumn="1" w:lastColumn="0" w:noHBand="0" w:noVBand="1"/>
      </w:tblPr>
      <w:tblGrid>
        <w:gridCol w:w="1080"/>
        <w:gridCol w:w="7846"/>
      </w:tblGrid>
      <w:tr w:rsidR="00550285">
        <w:trPr>
          <w:trHeight w:val="270"/>
          <w:tblHeader/>
          <w:jc w:val="center"/>
        </w:trPr>
        <w:tc>
          <w:tcPr>
            <w:tcW w:w="1080" w:type="dxa"/>
            <w:noWrap/>
          </w:tcPr>
          <w:p w:rsidR="00550285" w:rsidRDefault="00FA58F9">
            <w:pPr>
              <w:widowControl/>
              <w:jc w:val="center"/>
              <w:rPr>
                <w:rFonts w:ascii="楷体" w:eastAsia="楷体" w:hAnsi="楷体" w:cs="宋体"/>
                <w:b/>
                <w:color w:val="000000"/>
                <w:kern w:val="0"/>
                <w:szCs w:val="21"/>
              </w:rPr>
            </w:pPr>
            <w:r>
              <w:rPr>
                <w:rFonts w:ascii="楷体" w:eastAsia="楷体" w:hAnsi="楷体" w:cs="宋体" w:hint="eastAsia"/>
                <w:b/>
                <w:color w:val="000000"/>
                <w:kern w:val="0"/>
                <w:szCs w:val="21"/>
              </w:rPr>
              <w:t>序号</w:t>
            </w:r>
          </w:p>
        </w:tc>
        <w:tc>
          <w:tcPr>
            <w:tcW w:w="7846" w:type="dxa"/>
            <w:noWrap/>
          </w:tcPr>
          <w:p w:rsidR="00550285" w:rsidRDefault="00FA58F9">
            <w:pPr>
              <w:widowControl/>
              <w:jc w:val="center"/>
              <w:rPr>
                <w:rFonts w:ascii="楷体" w:eastAsia="楷体" w:hAnsi="楷体" w:cs="宋体"/>
                <w:b/>
                <w:color w:val="000000"/>
                <w:kern w:val="0"/>
                <w:szCs w:val="21"/>
              </w:rPr>
            </w:pPr>
            <w:r>
              <w:rPr>
                <w:rFonts w:ascii="楷体" w:eastAsia="楷体" w:hAnsi="楷体" w:cs="宋体" w:hint="eastAsia"/>
                <w:b/>
                <w:color w:val="000000"/>
                <w:kern w:val="0"/>
                <w:szCs w:val="21"/>
              </w:rPr>
              <w:t>竞赛名称</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中国“互联网+”大学生创新创业大赛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“挑战杯”全国大学生课外学术科技作品竞赛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“挑战杯”中国大学生创业计划大赛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ACM-ICPC国际大学生程序设计竞赛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全国大学生数学建模竞赛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全国大学生电子设计竞赛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全国大学生化学实验邀请赛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全国高等医学院校大学生临床技能竞赛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全国大学生机械创新设计大赛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全国大学生结构设计竞赛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全国大学生广告艺术大赛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全国大学生智能汽车竞赛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全国大学生交通科技大赛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全国大学生电子商务“创新、创意及创业”挑战赛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全国大学生节能减排社会实践与科技竞赛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全国大学生工程训练综合能力竞赛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全国大学生物流设计大赛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“外研社杯”全国英语演讲大赛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全国职业院校技能大赛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全国大学生创新创业训练计划年会展示</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全国大学生机器人大赛RoboMaster</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“西门子杯”中国智能制造挑战赛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全国大学生化工设计竞赛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全国大学生先进成图技术与产品信息建模创新大赛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全国三维数字化创新设计大赛（大学生组）</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中国大学生计算机设计大赛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全国大学生市场调查与分析大赛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28</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中国大学生服务外包创新创业大赛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两岸新锐设计竞赛“华灿奖”</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长江钢琴·全国高校钢琴大赛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31</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中国高校计算机大赛—大数据挑战赛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32</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世界技能大赛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33</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世界技能大赛中国选拔赛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34</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全国大学生机器人大赛RoboTac</w:t>
            </w:r>
          </w:p>
        </w:tc>
      </w:tr>
    </w:tbl>
    <w:p w:rsidR="00550285" w:rsidRDefault="00550285">
      <w:pPr>
        <w:ind w:left="420" w:firstLine="420"/>
        <w:jc w:val="left"/>
        <w:rPr>
          <w:rFonts w:ascii="仿宋" w:eastAsia="仿宋" w:hAnsi="仿宋"/>
          <w:sz w:val="28"/>
          <w:szCs w:val="28"/>
        </w:rPr>
      </w:pPr>
    </w:p>
    <w:p w:rsidR="00550285" w:rsidRDefault="00FA58F9">
      <w:pPr>
        <w:spacing w:beforeLines="50" w:before="156"/>
        <w:jc w:val="center"/>
        <w:rPr>
          <w:rFonts w:ascii="楷体" w:eastAsia="楷体" w:hAnsi="楷体"/>
          <w:b/>
          <w:sz w:val="28"/>
          <w:szCs w:val="28"/>
        </w:rPr>
      </w:pPr>
      <w:r>
        <w:rPr>
          <w:rFonts w:ascii="楷体" w:eastAsia="楷体" w:hAnsi="楷体" w:hint="eastAsia"/>
          <w:b/>
          <w:sz w:val="28"/>
          <w:szCs w:val="28"/>
        </w:rPr>
        <w:t>附表</w:t>
      </w:r>
      <w:r>
        <w:rPr>
          <w:rFonts w:ascii="楷体" w:eastAsia="楷体" w:hAnsi="楷体"/>
          <w:b/>
          <w:sz w:val="28"/>
          <w:szCs w:val="28"/>
        </w:rPr>
        <w:t xml:space="preserve">2 </w:t>
      </w:r>
      <w:r>
        <w:rPr>
          <w:rFonts w:ascii="楷体" w:eastAsia="楷体" w:hAnsi="楷体" w:hint="eastAsia"/>
          <w:b/>
          <w:sz w:val="28"/>
          <w:szCs w:val="28"/>
        </w:rPr>
        <w:t>江苏</w:t>
      </w:r>
      <w:r>
        <w:rPr>
          <w:rFonts w:ascii="楷体" w:eastAsia="楷体" w:hAnsi="楷体"/>
          <w:b/>
          <w:sz w:val="28"/>
          <w:szCs w:val="28"/>
        </w:rPr>
        <w:t>省</w:t>
      </w:r>
      <w:r>
        <w:rPr>
          <w:rFonts w:ascii="楷体" w:eastAsia="楷体" w:hAnsi="楷体" w:hint="eastAsia"/>
          <w:b/>
          <w:sz w:val="28"/>
          <w:szCs w:val="28"/>
        </w:rPr>
        <w:t>大学生省级竞赛参考名单</w:t>
      </w:r>
    </w:p>
    <w:tbl>
      <w:tblPr>
        <w:tblStyle w:val="a5"/>
        <w:tblW w:w="8926" w:type="dxa"/>
        <w:jc w:val="center"/>
        <w:tblLayout w:type="fixed"/>
        <w:tblLook w:val="04A0" w:firstRow="1" w:lastRow="0" w:firstColumn="1" w:lastColumn="0" w:noHBand="0" w:noVBand="1"/>
      </w:tblPr>
      <w:tblGrid>
        <w:gridCol w:w="1080"/>
        <w:gridCol w:w="7846"/>
      </w:tblGrid>
      <w:tr w:rsidR="00550285">
        <w:trPr>
          <w:trHeight w:val="270"/>
          <w:tblHeader/>
          <w:jc w:val="center"/>
        </w:trPr>
        <w:tc>
          <w:tcPr>
            <w:tcW w:w="1080" w:type="dxa"/>
            <w:noWrap/>
          </w:tcPr>
          <w:p w:rsidR="00550285" w:rsidRDefault="00FA58F9">
            <w:pPr>
              <w:widowControl/>
              <w:jc w:val="center"/>
              <w:rPr>
                <w:rFonts w:ascii="楷体" w:eastAsia="楷体" w:hAnsi="楷体" w:cs="宋体"/>
                <w:b/>
                <w:color w:val="000000"/>
                <w:kern w:val="0"/>
                <w:szCs w:val="21"/>
              </w:rPr>
            </w:pPr>
            <w:r>
              <w:rPr>
                <w:rFonts w:ascii="楷体" w:eastAsia="楷体" w:hAnsi="楷体" w:cs="宋体" w:hint="eastAsia"/>
                <w:b/>
                <w:color w:val="000000"/>
                <w:kern w:val="0"/>
                <w:szCs w:val="21"/>
              </w:rPr>
              <w:t>序号</w:t>
            </w:r>
          </w:p>
        </w:tc>
        <w:tc>
          <w:tcPr>
            <w:tcW w:w="7846" w:type="dxa"/>
            <w:noWrap/>
          </w:tcPr>
          <w:p w:rsidR="00550285" w:rsidRDefault="00FA58F9">
            <w:pPr>
              <w:widowControl/>
              <w:jc w:val="center"/>
              <w:rPr>
                <w:rFonts w:ascii="楷体" w:eastAsia="楷体" w:hAnsi="楷体" w:cs="宋体"/>
                <w:b/>
                <w:color w:val="000000"/>
                <w:kern w:val="0"/>
                <w:szCs w:val="21"/>
              </w:rPr>
            </w:pPr>
            <w:r>
              <w:rPr>
                <w:rFonts w:ascii="楷体" w:eastAsia="楷体" w:hAnsi="楷体" w:cs="宋体" w:hint="eastAsia"/>
                <w:b/>
                <w:color w:val="000000"/>
                <w:kern w:val="0"/>
                <w:szCs w:val="21"/>
              </w:rPr>
              <w:t>竞赛名称</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江苏技能状元大赛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江苏省</w:t>
            </w:r>
            <w:r>
              <w:rPr>
                <w:rFonts w:ascii="仿宋" w:eastAsia="仿宋" w:hAnsi="仿宋" w:cs="宋体"/>
                <w:color w:val="000000"/>
                <w:kern w:val="0"/>
                <w:sz w:val="28"/>
                <w:szCs w:val="28"/>
              </w:rPr>
              <w:t>大学生知识竞赛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江苏省</w:t>
            </w:r>
            <w:r>
              <w:rPr>
                <w:rFonts w:ascii="仿宋" w:eastAsia="仿宋" w:hAnsi="仿宋" w:cs="宋体"/>
                <w:color w:val="000000"/>
                <w:kern w:val="0"/>
                <w:sz w:val="28"/>
                <w:szCs w:val="28"/>
              </w:rPr>
              <w:t>大学生安全</w:t>
            </w:r>
            <w:r>
              <w:rPr>
                <w:rFonts w:ascii="仿宋" w:eastAsia="仿宋" w:hAnsi="仿宋" w:cs="宋体" w:hint="eastAsia"/>
                <w:color w:val="000000"/>
                <w:kern w:val="0"/>
                <w:sz w:val="28"/>
                <w:szCs w:val="28"/>
              </w:rPr>
              <w:t>知识</w:t>
            </w:r>
            <w:r>
              <w:rPr>
                <w:rFonts w:ascii="仿宋" w:eastAsia="仿宋" w:hAnsi="仿宋" w:cs="宋体"/>
                <w:color w:val="000000"/>
                <w:kern w:val="0"/>
                <w:sz w:val="28"/>
                <w:szCs w:val="28"/>
              </w:rPr>
              <w:t>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“领航杯”江苏省大学生信息技术应用能力比赛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江苏省高校大学生物理及实验科技作品创新竞赛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江苏省高校应急救护竞赛</w:t>
            </w:r>
          </w:p>
        </w:tc>
      </w:tr>
      <w:tr w:rsidR="00550285">
        <w:trPr>
          <w:trHeight w:hRule="exact" w:val="454"/>
          <w:jc w:val="center"/>
        </w:trPr>
        <w:tc>
          <w:tcPr>
            <w:tcW w:w="1080"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7846" w:type="dxa"/>
            <w:noWrap/>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江苏省</w:t>
            </w:r>
            <w:r>
              <w:rPr>
                <w:rFonts w:ascii="仿宋" w:eastAsia="仿宋" w:hAnsi="仿宋" w:cs="宋体"/>
                <w:color w:val="000000"/>
                <w:kern w:val="0"/>
                <w:sz w:val="28"/>
                <w:szCs w:val="28"/>
              </w:rPr>
              <w:t>大学生力学竞赛</w:t>
            </w:r>
          </w:p>
        </w:tc>
      </w:tr>
    </w:tbl>
    <w:p w:rsidR="00550285" w:rsidRDefault="00550285">
      <w:pPr>
        <w:spacing w:line="440" w:lineRule="exact"/>
        <w:ind w:firstLine="570"/>
        <w:rPr>
          <w:rFonts w:ascii="仿宋" w:eastAsia="仿宋" w:hAnsi="仿宋"/>
          <w:b/>
          <w:sz w:val="28"/>
        </w:rPr>
      </w:pPr>
    </w:p>
    <w:p w:rsidR="00550285" w:rsidRDefault="00FA58F9">
      <w:pPr>
        <w:spacing w:beforeLines="50" w:before="156"/>
        <w:jc w:val="center"/>
        <w:rPr>
          <w:rFonts w:ascii="楷体" w:eastAsia="楷体" w:hAnsi="楷体"/>
          <w:b/>
          <w:sz w:val="28"/>
          <w:szCs w:val="28"/>
        </w:rPr>
      </w:pPr>
      <w:r>
        <w:rPr>
          <w:rFonts w:ascii="楷体" w:eastAsia="楷体" w:hAnsi="楷体" w:hint="eastAsia"/>
          <w:b/>
          <w:sz w:val="28"/>
          <w:szCs w:val="28"/>
        </w:rPr>
        <w:t>附表</w:t>
      </w:r>
      <w:r>
        <w:rPr>
          <w:rFonts w:ascii="楷体" w:eastAsia="楷体" w:hAnsi="楷体"/>
          <w:b/>
          <w:sz w:val="28"/>
          <w:szCs w:val="28"/>
        </w:rPr>
        <w:t xml:space="preserve">3 </w:t>
      </w:r>
      <w:r>
        <w:rPr>
          <w:rFonts w:ascii="楷体" w:eastAsia="楷体" w:hAnsi="楷体" w:hint="eastAsia"/>
          <w:b/>
          <w:sz w:val="28"/>
          <w:szCs w:val="28"/>
        </w:rPr>
        <w:t>江苏</w:t>
      </w:r>
      <w:r>
        <w:rPr>
          <w:rFonts w:ascii="楷体" w:eastAsia="楷体" w:hAnsi="楷体"/>
          <w:b/>
          <w:sz w:val="28"/>
          <w:szCs w:val="28"/>
        </w:rPr>
        <w:t>省</w:t>
      </w:r>
      <w:r>
        <w:rPr>
          <w:rFonts w:ascii="楷体" w:eastAsia="楷体" w:hAnsi="楷体" w:hint="eastAsia"/>
          <w:b/>
          <w:sz w:val="28"/>
          <w:szCs w:val="28"/>
        </w:rPr>
        <w:t>省级大学生竞赛总结表</w:t>
      </w:r>
    </w:p>
    <w:tbl>
      <w:tblPr>
        <w:tblStyle w:val="a5"/>
        <w:tblW w:w="7508" w:type="dxa"/>
        <w:jc w:val="center"/>
        <w:tblLayout w:type="fixed"/>
        <w:tblLook w:val="04A0" w:firstRow="1" w:lastRow="0" w:firstColumn="1" w:lastColumn="0" w:noHBand="0" w:noVBand="1"/>
      </w:tblPr>
      <w:tblGrid>
        <w:gridCol w:w="1413"/>
        <w:gridCol w:w="1843"/>
        <w:gridCol w:w="4252"/>
      </w:tblGrid>
      <w:tr w:rsidR="00550285">
        <w:trPr>
          <w:trHeight w:val="416"/>
          <w:jc w:val="center"/>
        </w:trPr>
        <w:tc>
          <w:tcPr>
            <w:tcW w:w="141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赛项名称</w:t>
            </w:r>
          </w:p>
        </w:tc>
        <w:tc>
          <w:tcPr>
            <w:tcW w:w="6095" w:type="dxa"/>
            <w:gridSpan w:val="2"/>
            <w:vAlign w:val="center"/>
          </w:tcPr>
          <w:p w:rsidR="00550285" w:rsidRDefault="00550285">
            <w:pPr>
              <w:widowControl/>
              <w:jc w:val="left"/>
              <w:rPr>
                <w:rFonts w:ascii="仿宋" w:eastAsia="仿宋" w:hAnsi="仿宋" w:cs="宋体"/>
                <w:color w:val="000000"/>
                <w:kern w:val="0"/>
                <w:sz w:val="28"/>
                <w:szCs w:val="28"/>
              </w:rPr>
            </w:pPr>
          </w:p>
        </w:tc>
      </w:tr>
      <w:tr w:rsidR="00550285">
        <w:trPr>
          <w:trHeight w:val="354"/>
          <w:jc w:val="center"/>
        </w:trPr>
        <w:tc>
          <w:tcPr>
            <w:tcW w:w="141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主办</w:t>
            </w:r>
            <w:r>
              <w:rPr>
                <w:rFonts w:ascii="仿宋" w:eastAsia="仿宋" w:hAnsi="仿宋" w:cs="宋体"/>
                <w:bCs/>
                <w:color w:val="000000"/>
                <w:kern w:val="0"/>
                <w:sz w:val="28"/>
                <w:szCs w:val="28"/>
              </w:rPr>
              <w:t>单位</w:t>
            </w:r>
          </w:p>
        </w:tc>
        <w:tc>
          <w:tcPr>
            <w:tcW w:w="6095" w:type="dxa"/>
            <w:gridSpan w:val="2"/>
            <w:vAlign w:val="center"/>
          </w:tcPr>
          <w:p w:rsidR="00550285" w:rsidRDefault="00550285">
            <w:pPr>
              <w:widowControl/>
              <w:jc w:val="left"/>
              <w:rPr>
                <w:rFonts w:ascii="仿宋" w:eastAsia="仿宋" w:hAnsi="仿宋" w:cs="宋体"/>
                <w:color w:val="000000"/>
                <w:kern w:val="0"/>
                <w:sz w:val="28"/>
                <w:szCs w:val="28"/>
              </w:rPr>
            </w:pPr>
          </w:p>
        </w:tc>
      </w:tr>
      <w:tr w:rsidR="00550285">
        <w:trPr>
          <w:trHeight w:val="354"/>
          <w:jc w:val="center"/>
        </w:trPr>
        <w:tc>
          <w:tcPr>
            <w:tcW w:w="141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承办单位</w:t>
            </w:r>
          </w:p>
        </w:tc>
        <w:tc>
          <w:tcPr>
            <w:tcW w:w="6095" w:type="dxa"/>
            <w:gridSpan w:val="2"/>
            <w:vAlign w:val="center"/>
          </w:tcPr>
          <w:p w:rsidR="00550285" w:rsidRDefault="00550285">
            <w:pPr>
              <w:widowControl/>
              <w:jc w:val="left"/>
              <w:rPr>
                <w:rFonts w:ascii="仿宋" w:eastAsia="仿宋" w:hAnsi="仿宋" w:cs="宋体"/>
                <w:color w:val="000000"/>
                <w:kern w:val="0"/>
                <w:sz w:val="28"/>
                <w:szCs w:val="28"/>
              </w:rPr>
            </w:pPr>
          </w:p>
        </w:tc>
      </w:tr>
      <w:tr w:rsidR="00550285">
        <w:trPr>
          <w:trHeight w:val="419"/>
          <w:jc w:val="center"/>
        </w:trPr>
        <w:tc>
          <w:tcPr>
            <w:tcW w:w="141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协办</w:t>
            </w:r>
            <w:r>
              <w:rPr>
                <w:rFonts w:ascii="仿宋" w:eastAsia="仿宋" w:hAnsi="仿宋" w:cs="宋体"/>
                <w:bCs/>
                <w:color w:val="000000"/>
                <w:kern w:val="0"/>
                <w:sz w:val="28"/>
                <w:szCs w:val="28"/>
              </w:rPr>
              <w:t>单位</w:t>
            </w:r>
          </w:p>
        </w:tc>
        <w:tc>
          <w:tcPr>
            <w:tcW w:w="6095" w:type="dxa"/>
            <w:gridSpan w:val="2"/>
            <w:vAlign w:val="center"/>
          </w:tcPr>
          <w:p w:rsidR="00550285" w:rsidRDefault="00550285">
            <w:pPr>
              <w:widowControl/>
              <w:jc w:val="left"/>
              <w:rPr>
                <w:rFonts w:ascii="仿宋" w:eastAsia="仿宋" w:hAnsi="仿宋" w:cs="宋体"/>
                <w:color w:val="000000"/>
                <w:kern w:val="0"/>
                <w:sz w:val="28"/>
                <w:szCs w:val="28"/>
              </w:rPr>
            </w:pPr>
          </w:p>
        </w:tc>
      </w:tr>
      <w:tr w:rsidR="00550285">
        <w:trPr>
          <w:trHeight w:val="419"/>
          <w:jc w:val="center"/>
        </w:trPr>
        <w:tc>
          <w:tcPr>
            <w:tcW w:w="141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赛事流程</w:t>
            </w:r>
          </w:p>
        </w:tc>
        <w:tc>
          <w:tcPr>
            <w:tcW w:w="6095" w:type="dxa"/>
            <w:gridSpan w:val="2"/>
            <w:vAlign w:val="center"/>
          </w:tcPr>
          <w:p w:rsidR="00550285" w:rsidRDefault="00FA58F9">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（包括</w:t>
            </w:r>
            <w:r>
              <w:rPr>
                <w:rFonts w:ascii="仿宋" w:eastAsia="仿宋" w:hAnsi="仿宋" w:cs="宋体"/>
                <w:color w:val="000000"/>
                <w:kern w:val="0"/>
                <w:sz w:val="28"/>
                <w:szCs w:val="28"/>
              </w:rPr>
              <w:t>时间、地点</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出席人员</w:t>
            </w:r>
            <w:r>
              <w:rPr>
                <w:rFonts w:ascii="仿宋" w:eastAsia="仿宋" w:hAnsi="仿宋" w:cs="宋体" w:hint="eastAsia"/>
                <w:color w:val="000000"/>
                <w:kern w:val="0"/>
                <w:sz w:val="28"/>
                <w:szCs w:val="28"/>
              </w:rPr>
              <w:t>及</w:t>
            </w:r>
            <w:r>
              <w:rPr>
                <w:rFonts w:ascii="仿宋" w:eastAsia="仿宋" w:hAnsi="仿宋" w:cs="宋体"/>
                <w:color w:val="000000"/>
                <w:kern w:val="0"/>
                <w:sz w:val="28"/>
                <w:szCs w:val="28"/>
              </w:rPr>
              <w:t>赛事进展等</w:t>
            </w:r>
            <w:r>
              <w:rPr>
                <w:rFonts w:ascii="仿宋" w:eastAsia="仿宋" w:hAnsi="仿宋" w:cs="宋体" w:hint="eastAsia"/>
                <w:color w:val="000000"/>
                <w:kern w:val="0"/>
                <w:sz w:val="28"/>
                <w:szCs w:val="28"/>
              </w:rPr>
              <w:t>）</w:t>
            </w:r>
          </w:p>
          <w:p w:rsidR="00550285" w:rsidRDefault="00550285">
            <w:pPr>
              <w:widowControl/>
              <w:jc w:val="left"/>
              <w:rPr>
                <w:rFonts w:ascii="仿宋" w:eastAsia="仿宋" w:hAnsi="仿宋" w:cs="宋体"/>
                <w:color w:val="000000"/>
                <w:kern w:val="0"/>
                <w:sz w:val="28"/>
                <w:szCs w:val="28"/>
              </w:rPr>
            </w:pPr>
          </w:p>
        </w:tc>
      </w:tr>
      <w:tr w:rsidR="00550285">
        <w:trPr>
          <w:trHeight w:val="356"/>
          <w:jc w:val="center"/>
        </w:trPr>
        <w:tc>
          <w:tcPr>
            <w:tcW w:w="1413" w:type="dxa"/>
            <w:vMerge w:val="restart"/>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竞赛覆盖面</w:t>
            </w:r>
          </w:p>
        </w:tc>
        <w:tc>
          <w:tcPr>
            <w:tcW w:w="1843" w:type="dxa"/>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参赛院校数</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295"/>
          <w:jc w:val="center"/>
        </w:trPr>
        <w:tc>
          <w:tcPr>
            <w:tcW w:w="1413" w:type="dxa"/>
            <w:vMerge/>
            <w:vAlign w:val="center"/>
          </w:tcPr>
          <w:p w:rsidR="00550285" w:rsidRDefault="00550285">
            <w:pPr>
              <w:widowControl/>
              <w:jc w:val="left"/>
              <w:rPr>
                <w:rFonts w:ascii="仿宋" w:eastAsia="仿宋" w:hAnsi="仿宋" w:cs="宋体"/>
                <w:bCs/>
                <w:color w:val="000000"/>
                <w:kern w:val="0"/>
                <w:sz w:val="28"/>
                <w:szCs w:val="28"/>
              </w:rPr>
            </w:pPr>
          </w:p>
        </w:tc>
        <w:tc>
          <w:tcPr>
            <w:tcW w:w="1843" w:type="dxa"/>
            <w:vAlign w:val="center"/>
          </w:tcPr>
          <w:p w:rsidR="00550285" w:rsidRDefault="00FA58F9">
            <w:pPr>
              <w:widowControl/>
              <w:jc w:val="center"/>
              <w:rPr>
                <w:rFonts w:ascii="仿宋" w:eastAsia="仿宋" w:hAnsi="仿宋" w:cs="宋体"/>
                <w:color w:val="000000"/>
                <w:kern w:val="0"/>
                <w:sz w:val="28"/>
                <w:szCs w:val="28"/>
              </w:rPr>
            </w:pPr>
            <w:r>
              <w:rPr>
                <w:rFonts w:ascii="仿宋" w:eastAsia="仿宋" w:hAnsi="仿宋" w:cs="宋体" w:hint="eastAsia"/>
                <w:bCs/>
                <w:color w:val="000000"/>
                <w:kern w:val="0"/>
                <w:sz w:val="28"/>
                <w:szCs w:val="28"/>
              </w:rPr>
              <w:t>参赛人数</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845"/>
          <w:jc w:val="center"/>
        </w:trPr>
        <w:tc>
          <w:tcPr>
            <w:tcW w:w="1413" w:type="dxa"/>
            <w:vMerge w:val="restart"/>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奖项设置类别</w:t>
            </w:r>
            <w:r>
              <w:rPr>
                <w:rFonts w:ascii="仿宋" w:eastAsia="仿宋" w:hAnsi="仿宋" w:cs="宋体"/>
                <w:bCs/>
                <w:color w:val="000000"/>
                <w:kern w:val="0"/>
                <w:sz w:val="28"/>
                <w:szCs w:val="28"/>
              </w:rPr>
              <w:t>、</w:t>
            </w:r>
            <w:r>
              <w:rPr>
                <w:rFonts w:ascii="仿宋" w:eastAsia="仿宋" w:hAnsi="仿宋" w:cs="宋体" w:hint="eastAsia"/>
                <w:bCs/>
                <w:color w:val="000000"/>
                <w:kern w:val="0"/>
                <w:sz w:val="28"/>
                <w:szCs w:val="28"/>
              </w:rPr>
              <w:t>数量（如无</w:t>
            </w:r>
            <w:r>
              <w:rPr>
                <w:rFonts w:ascii="仿宋" w:eastAsia="仿宋" w:hAnsi="仿宋" w:cs="宋体"/>
                <w:bCs/>
                <w:color w:val="000000"/>
                <w:kern w:val="0"/>
                <w:sz w:val="28"/>
                <w:szCs w:val="28"/>
              </w:rPr>
              <w:t>可不填</w:t>
            </w:r>
            <w:r>
              <w:rPr>
                <w:rFonts w:ascii="仿宋" w:eastAsia="仿宋" w:hAnsi="仿宋" w:cs="宋体" w:hint="eastAsia"/>
                <w:bCs/>
                <w:color w:val="000000"/>
                <w:kern w:val="0"/>
                <w:sz w:val="28"/>
                <w:szCs w:val="28"/>
              </w:rPr>
              <w:t>）</w:t>
            </w:r>
          </w:p>
        </w:tc>
        <w:tc>
          <w:tcPr>
            <w:tcW w:w="184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学生类</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854"/>
          <w:jc w:val="center"/>
        </w:trPr>
        <w:tc>
          <w:tcPr>
            <w:tcW w:w="1413" w:type="dxa"/>
            <w:vMerge/>
            <w:vAlign w:val="center"/>
          </w:tcPr>
          <w:p w:rsidR="00550285" w:rsidRDefault="00550285">
            <w:pPr>
              <w:widowControl/>
              <w:jc w:val="left"/>
              <w:rPr>
                <w:rFonts w:ascii="仿宋" w:eastAsia="仿宋" w:hAnsi="仿宋" w:cs="宋体"/>
                <w:bCs/>
                <w:color w:val="000000"/>
                <w:kern w:val="0"/>
                <w:sz w:val="28"/>
                <w:szCs w:val="28"/>
              </w:rPr>
            </w:pPr>
          </w:p>
        </w:tc>
        <w:tc>
          <w:tcPr>
            <w:tcW w:w="184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教师类</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390"/>
          <w:jc w:val="center"/>
        </w:trPr>
        <w:tc>
          <w:tcPr>
            <w:tcW w:w="1413" w:type="dxa"/>
            <w:vMerge/>
            <w:vAlign w:val="center"/>
          </w:tcPr>
          <w:p w:rsidR="00550285" w:rsidRDefault="00550285">
            <w:pPr>
              <w:widowControl/>
              <w:jc w:val="left"/>
              <w:rPr>
                <w:rFonts w:ascii="仿宋" w:eastAsia="仿宋" w:hAnsi="仿宋" w:cs="宋体"/>
                <w:bCs/>
                <w:color w:val="000000"/>
                <w:kern w:val="0"/>
                <w:sz w:val="28"/>
                <w:szCs w:val="28"/>
              </w:rPr>
            </w:pPr>
          </w:p>
        </w:tc>
        <w:tc>
          <w:tcPr>
            <w:tcW w:w="184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院校类</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390"/>
          <w:jc w:val="center"/>
        </w:trPr>
        <w:tc>
          <w:tcPr>
            <w:tcW w:w="1413" w:type="dxa"/>
            <w:vMerge w:val="restart"/>
            <w:vAlign w:val="center"/>
          </w:tcPr>
          <w:p w:rsidR="00550285" w:rsidRDefault="00FA58F9">
            <w:pPr>
              <w:widowControl/>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经费收支</w:t>
            </w:r>
            <w:r>
              <w:rPr>
                <w:rFonts w:ascii="仿宋" w:eastAsia="仿宋" w:hAnsi="仿宋" w:cs="宋体"/>
                <w:bCs/>
                <w:color w:val="000000"/>
                <w:kern w:val="0"/>
                <w:sz w:val="28"/>
                <w:szCs w:val="28"/>
              </w:rPr>
              <w:t>情况</w:t>
            </w:r>
          </w:p>
        </w:tc>
        <w:tc>
          <w:tcPr>
            <w:tcW w:w="184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收入</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390"/>
          <w:jc w:val="center"/>
        </w:trPr>
        <w:tc>
          <w:tcPr>
            <w:tcW w:w="1413" w:type="dxa"/>
            <w:vMerge/>
            <w:vAlign w:val="center"/>
          </w:tcPr>
          <w:p w:rsidR="00550285" w:rsidRDefault="00550285">
            <w:pPr>
              <w:widowControl/>
              <w:jc w:val="left"/>
              <w:rPr>
                <w:rFonts w:ascii="仿宋" w:eastAsia="仿宋" w:hAnsi="仿宋" w:cs="宋体"/>
                <w:bCs/>
                <w:color w:val="000000"/>
                <w:kern w:val="0"/>
                <w:sz w:val="28"/>
                <w:szCs w:val="28"/>
              </w:rPr>
            </w:pPr>
          </w:p>
        </w:tc>
        <w:tc>
          <w:tcPr>
            <w:tcW w:w="1843" w:type="dxa"/>
            <w:vAlign w:val="center"/>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支出</w:t>
            </w:r>
          </w:p>
        </w:tc>
        <w:tc>
          <w:tcPr>
            <w:tcW w:w="4252" w:type="dxa"/>
            <w:noWrap/>
          </w:tcPr>
          <w:p w:rsidR="00550285" w:rsidRDefault="00550285">
            <w:pPr>
              <w:widowControl/>
              <w:jc w:val="left"/>
              <w:rPr>
                <w:rFonts w:ascii="仿宋" w:eastAsia="仿宋" w:hAnsi="仿宋" w:cs="宋体"/>
                <w:color w:val="000000"/>
                <w:kern w:val="0"/>
                <w:sz w:val="28"/>
                <w:szCs w:val="28"/>
              </w:rPr>
            </w:pPr>
          </w:p>
        </w:tc>
      </w:tr>
      <w:tr w:rsidR="00550285">
        <w:trPr>
          <w:trHeight w:val="390"/>
          <w:jc w:val="center"/>
        </w:trPr>
        <w:tc>
          <w:tcPr>
            <w:tcW w:w="1413" w:type="dxa"/>
            <w:vAlign w:val="center"/>
          </w:tcPr>
          <w:p w:rsidR="00550285" w:rsidRDefault="00FA58F9">
            <w:pPr>
              <w:widowControl/>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主要</w:t>
            </w:r>
            <w:r>
              <w:rPr>
                <w:rFonts w:ascii="仿宋" w:eastAsia="仿宋" w:hAnsi="仿宋" w:cs="宋体"/>
                <w:bCs/>
                <w:color w:val="000000"/>
                <w:kern w:val="0"/>
                <w:sz w:val="28"/>
                <w:szCs w:val="28"/>
              </w:rPr>
              <w:t>成效</w:t>
            </w:r>
          </w:p>
        </w:tc>
        <w:tc>
          <w:tcPr>
            <w:tcW w:w="6095" w:type="dxa"/>
            <w:gridSpan w:val="2"/>
            <w:vAlign w:val="center"/>
          </w:tcPr>
          <w:p w:rsidR="00550285" w:rsidRDefault="00FA58F9">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（如本</w:t>
            </w:r>
            <w:r>
              <w:rPr>
                <w:rFonts w:ascii="仿宋" w:eastAsia="仿宋" w:hAnsi="仿宋" w:cs="宋体"/>
                <w:color w:val="000000"/>
                <w:kern w:val="0"/>
                <w:sz w:val="28"/>
                <w:szCs w:val="28"/>
              </w:rPr>
              <w:t>赛事</w:t>
            </w:r>
            <w:r>
              <w:rPr>
                <w:rFonts w:ascii="仿宋" w:eastAsia="仿宋" w:hAnsi="仿宋" w:cs="宋体" w:hint="eastAsia"/>
                <w:color w:val="000000"/>
                <w:kern w:val="0"/>
                <w:sz w:val="28"/>
                <w:szCs w:val="28"/>
              </w:rPr>
              <w:t>有无</w:t>
            </w:r>
            <w:r>
              <w:rPr>
                <w:rFonts w:ascii="仿宋" w:eastAsia="仿宋" w:hAnsi="仿宋" w:cs="宋体"/>
                <w:color w:val="000000"/>
                <w:kern w:val="0"/>
                <w:sz w:val="28"/>
                <w:szCs w:val="28"/>
              </w:rPr>
              <w:t>获得</w:t>
            </w:r>
            <w:r>
              <w:rPr>
                <w:rFonts w:ascii="仿宋" w:eastAsia="仿宋" w:hAnsi="仿宋" w:cs="宋体" w:hint="eastAsia"/>
                <w:color w:val="000000"/>
                <w:kern w:val="0"/>
                <w:sz w:val="28"/>
                <w:szCs w:val="28"/>
              </w:rPr>
              <w:t>其他单位</w:t>
            </w:r>
            <w:r>
              <w:rPr>
                <w:rFonts w:ascii="仿宋" w:eastAsia="仿宋" w:hAnsi="仿宋" w:cs="宋体"/>
                <w:color w:val="000000"/>
                <w:kern w:val="0"/>
                <w:sz w:val="28"/>
                <w:szCs w:val="28"/>
              </w:rPr>
              <w:t>或部门认定</w:t>
            </w:r>
            <w:r>
              <w:rPr>
                <w:rFonts w:ascii="仿宋" w:eastAsia="仿宋" w:hAnsi="仿宋" w:cs="宋体" w:hint="eastAsia"/>
                <w:color w:val="000000"/>
                <w:kern w:val="0"/>
                <w:sz w:val="28"/>
                <w:szCs w:val="28"/>
              </w:rPr>
              <w:t>等）</w:t>
            </w:r>
          </w:p>
          <w:p w:rsidR="00550285" w:rsidRDefault="00550285">
            <w:pPr>
              <w:widowControl/>
              <w:jc w:val="left"/>
              <w:rPr>
                <w:rFonts w:ascii="仿宋" w:eastAsia="仿宋" w:hAnsi="仿宋" w:cs="宋体"/>
                <w:color w:val="000000"/>
                <w:kern w:val="0"/>
                <w:sz w:val="28"/>
                <w:szCs w:val="28"/>
              </w:rPr>
            </w:pPr>
          </w:p>
        </w:tc>
      </w:tr>
      <w:tr w:rsidR="00550285">
        <w:trPr>
          <w:trHeight w:val="390"/>
          <w:jc w:val="center"/>
        </w:trPr>
        <w:tc>
          <w:tcPr>
            <w:tcW w:w="1413" w:type="dxa"/>
            <w:vAlign w:val="center"/>
          </w:tcPr>
          <w:p w:rsidR="00550285" w:rsidRDefault="00FA58F9">
            <w:pPr>
              <w:widowControl/>
              <w:jc w:val="lef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下一步</w:t>
            </w:r>
            <w:r>
              <w:rPr>
                <w:rFonts w:ascii="仿宋" w:eastAsia="仿宋" w:hAnsi="仿宋" w:cs="宋体"/>
                <w:bCs/>
                <w:color w:val="000000"/>
                <w:kern w:val="0"/>
                <w:sz w:val="28"/>
                <w:szCs w:val="28"/>
              </w:rPr>
              <w:t>工作思路或改进建议</w:t>
            </w:r>
          </w:p>
        </w:tc>
        <w:tc>
          <w:tcPr>
            <w:tcW w:w="6095" w:type="dxa"/>
            <w:gridSpan w:val="2"/>
            <w:vAlign w:val="center"/>
          </w:tcPr>
          <w:p w:rsidR="00550285" w:rsidRDefault="00550285">
            <w:pPr>
              <w:widowControl/>
              <w:jc w:val="left"/>
              <w:rPr>
                <w:rFonts w:ascii="仿宋" w:eastAsia="仿宋" w:hAnsi="仿宋" w:cs="宋体"/>
                <w:color w:val="000000"/>
                <w:kern w:val="0"/>
                <w:sz w:val="28"/>
                <w:szCs w:val="28"/>
              </w:rPr>
            </w:pPr>
          </w:p>
        </w:tc>
      </w:tr>
      <w:tr w:rsidR="00550285">
        <w:trPr>
          <w:trHeight w:val="765"/>
          <w:jc w:val="center"/>
        </w:trPr>
        <w:tc>
          <w:tcPr>
            <w:tcW w:w="1413" w:type="dxa"/>
          </w:tcPr>
          <w:p w:rsidR="00550285" w:rsidRDefault="00FA58F9">
            <w:pPr>
              <w:widowControl/>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联系人及</w:t>
            </w:r>
            <w:r>
              <w:rPr>
                <w:rFonts w:ascii="仿宋" w:eastAsia="仿宋" w:hAnsi="仿宋" w:cs="宋体"/>
                <w:bCs/>
                <w:color w:val="000000"/>
                <w:kern w:val="0"/>
                <w:sz w:val="28"/>
                <w:szCs w:val="28"/>
              </w:rPr>
              <w:t>联系方式</w:t>
            </w:r>
          </w:p>
        </w:tc>
        <w:tc>
          <w:tcPr>
            <w:tcW w:w="6095" w:type="dxa"/>
            <w:gridSpan w:val="2"/>
          </w:tcPr>
          <w:p w:rsidR="00550285" w:rsidRDefault="00550285">
            <w:pPr>
              <w:widowControl/>
              <w:jc w:val="left"/>
              <w:rPr>
                <w:rFonts w:ascii="仿宋" w:eastAsia="仿宋" w:hAnsi="仿宋" w:cs="宋体"/>
                <w:color w:val="000000"/>
                <w:kern w:val="0"/>
                <w:sz w:val="28"/>
                <w:szCs w:val="28"/>
              </w:rPr>
            </w:pPr>
          </w:p>
        </w:tc>
      </w:tr>
    </w:tbl>
    <w:p w:rsidR="00550285" w:rsidRDefault="00550285">
      <w:pPr>
        <w:spacing w:line="440" w:lineRule="exact"/>
        <w:ind w:firstLine="570"/>
        <w:rPr>
          <w:rFonts w:ascii="仿宋" w:eastAsia="仿宋" w:hAnsi="仿宋"/>
          <w:sz w:val="28"/>
        </w:rPr>
      </w:pPr>
    </w:p>
    <w:p w:rsidR="00550285" w:rsidRDefault="00550285"/>
    <w:sectPr w:rsidR="00550285">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A7" w:rsidRDefault="003137A7">
      <w:r>
        <w:separator/>
      </w:r>
    </w:p>
  </w:endnote>
  <w:endnote w:type="continuationSeparator" w:id="0">
    <w:p w:rsidR="003137A7" w:rsidRDefault="0031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99111"/>
    </w:sdtPr>
    <w:sdtEndPr/>
    <w:sdtContent>
      <w:p w:rsidR="00550285" w:rsidRDefault="00FA58F9">
        <w:pPr>
          <w:pStyle w:val="a3"/>
          <w:jc w:val="center"/>
        </w:pPr>
        <w:r>
          <w:fldChar w:fldCharType="begin"/>
        </w:r>
        <w:r>
          <w:instrText>PAGE   \* MERGEFORMAT</w:instrText>
        </w:r>
        <w:r>
          <w:fldChar w:fldCharType="separate"/>
        </w:r>
        <w:r w:rsidR="007E4994" w:rsidRPr="007E4994">
          <w:rPr>
            <w:noProof/>
            <w:lang w:val="zh-CN"/>
          </w:rPr>
          <w:t>2</w:t>
        </w:r>
        <w:r>
          <w:fldChar w:fldCharType="end"/>
        </w:r>
      </w:p>
    </w:sdtContent>
  </w:sdt>
  <w:p w:rsidR="00550285" w:rsidRDefault="005502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A7" w:rsidRDefault="003137A7">
      <w:r>
        <w:separator/>
      </w:r>
    </w:p>
  </w:footnote>
  <w:footnote w:type="continuationSeparator" w:id="0">
    <w:p w:rsidR="003137A7" w:rsidRDefault="00313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AFD57B"/>
    <w:multiLevelType w:val="singleLevel"/>
    <w:tmpl w:val="D7AFD5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CF"/>
    <w:rsid w:val="00014DFD"/>
    <w:rsid w:val="00017817"/>
    <w:rsid w:val="00060BF2"/>
    <w:rsid w:val="00083BF2"/>
    <w:rsid w:val="00083C42"/>
    <w:rsid w:val="000848D2"/>
    <w:rsid w:val="00094C8F"/>
    <w:rsid w:val="000B20DC"/>
    <w:rsid w:val="000B4A97"/>
    <w:rsid w:val="000C38BB"/>
    <w:rsid w:val="000C4356"/>
    <w:rsid w:val="000C57CC"/>
    <w:rsid w:val="000E405F"/>
    <w:rsid w:val="000F78E6"/>
    <w:rsid w:val="00120425"/>
    <w:rsid w:val="00137E3D"/>
    <w:rsid w:val="00186FDB"/>
    <w:rsid w:val="001918F0"/>
    <w:rsid w:val="0019358E"/>
    <w:rsid w:val="001974E7"/>
    <w:rsid w:val="001A1ECA"/>
    <w:rsid w:val="001B0DAF"/>
    <w:rsid w:val="001B4613"/>
    <w:rsid w:val="001B5042"/>
    <w:rsid w:val="001C1574"/>
    <w:rsid w:val="001C56B7"/>
    <w:rsid w:val="001D0339"/>
    <w:rsid w:val="001E0764"/>
    <w:rsid w:val="001E217C"/>
    <w:rsid w:val="00203B92"/>
    <w:rsid w:val="0020753A"/>
    <w:rsid w:val="00213D59"/>
    <w:rsid w:val="0023241F"/>
    <w:rsid w:val="00246371"/>
    <w:rsid w:val="00255663"/>
    <w:rsid w:val="002575AB"/>
    <w:rsid w:val="00291ACF"/>
    <w:rsid w:val="0029465A"/>
    <w:rsid w:val="002A5BA7"/>
    <w:rsid w:val="002B74A3"/>
    <w:rsid w:val="002C4DA2"/>
    <w:rsid w:val="002F42E5"/>
    <w:rsid w:val="003137A7"/>
    <w:rsid w:val="00321400"/>
    <w:rsid w:val="00324DF2"/>
    <w:rsid w:val="003403FA"/>
    <w:rsid w:val="00343519"/>
    <w:rsid w:val="003529A7"/>
    <w:rsid w:val="00353B70"/>
    <w:rsid w:val="00363E6D"/>
    <w:rsid w:val="00364D27"/>
    <w:rsid w:val="00366F5E"/>
    <w:rsid w:val="003702A9"/>
    <w:rsid w:val="003947D7"/>
    <w:rsid w:val="003A6161"/>
    <w:rsid w:val="003D3381"/>
    <w:rsid w:val="003E31B9"/>
    <w:rsid w:val="00435C05"/>
    <w:rsid w:val="00436482"/>
    <w:rsid w:val="004365CF"/>
    <w:rsid w:val="00450EF9"/>
    <w:rsid w:val="00466395"/>
    <w:rsid w:val="00493F30"/>
    <w:rsid w:val="004979E4"/>
    <w:rsid w:val="004C2070"/>
    <w:rsid w:val="004D00AF"/>
    <w:rsid w:val="004D6ADA"/>
    <w:rsid w:val="004E6805"/>
    <w:rsid w:val="004E7533"/>
    <w:rsid w:val="004F2F72"/>
    <w:rsid w:val="00514AAA"/>
    <w:rsid w:val="005264AC"/>
    <w:rsid w:val="00532E35"/>
    <w:rsid w:val="005450A9"/>
    <w:rsid w:val="00550285"/>
    <w:rsid w:val="005524D2"/>
    <w:rsid w:val="005624ED"/>
    <w:rsid w:val="00563915"/>
    <w:rsid w:val="0057643D"/>
    <w:rsid w:val="005827D8"/>
    <w:rsid w:val="005A31DA"/>
    <w:rsid w:val="005A7D38"/>
    <w:rsid w:val="005B118F"/>
    <w:rsid w:val="005B60C1"/>
    <w:rsid w:val="005B69EC"/>
    <w:rsid w:val="005D21E5"/>
    <w:rsid w:val="005F2A5C"/>
    <w:rsid w:val="006028C8"/>
    <w:rsid w:val="00605878"/>
    <w:rsid w:val="00611F65"/>
    <w:rsid w:val="00621B5C"/>
    <w:rsid w:val="006243DF"/>
    <w:rsid w:val="006301AE"/>
    <w:rsid w:val="0067002B"/>
    <w:rsid w:val="006728F1"/>
    <w:rsid w:val="00675AAE"/>
    <w:rsid w:val="0069681F"/>
    <w:rsid w:val="006D142D"/>
    <w:rsid w:val="00702595"/>
    <w:rsid w:val="00737357"/>
    <w:rsid w:val="007539D7"/>
    <w:rsid w:val="00754317"/>
    <w:rsid w:val="00756E1C"/>
    <w:rsid w:val="00770DAB"/>
    <w:rsid w:val="00775FF6"/>
    <w:rsid w:val="007847F5"/>
    <w:rsid w:val="007C3483"/>
    <w:rsid w:val="007C4B62"/>
    <w:rsid w:val="007D75D7"/>
    <w:rsid w:val="007E4994"/>
    <w:rsid w:val="00805A13"/>
    <w:rsid w:val="00813845"/>
    <w:rsid w:val="008430F2"/>
    <w:rsid w:val="00845B83"/>
    <w:rsid w:val="00855BD8"/>
    <w:rsid w:val="00861AC4"/>
    <w:rsid w:val="008716F7"/>
    <w:rsid w:val="0089097C"/>
    <w:rsid w:val="008962DA"/>
    <w:rsid w:val="008A63DC"/>
    <w:rsid w:val="008B1D3E"/>
    <w:rsid w:val="008E5859"/>
    <w:rsid w:val="008F43E7"/>
    <w:rsid w:val="00902ECC"/>
    <w:rsid w:val="00907681"/>
    <w:rsid w:val="00924F17"/>
    <w:rsid w:val="00945C90"/>
    <w:rsid w:val="00956693"/>
    <w:rsid w:val="0097004B"/>
    <w:rsid w:val="009730D8"/>
    <w:rsid w:val="00973182"/>
    <w:rsid w:val="00982EC1"/>
    <w:rsid w:val="00985AF5"/>
    <w:rsid w:val="009917C7"/>
    <w:rsid w:val="009A4C3E"/>
    <w:rsid w:val="009D4CA7"/>
    <w:rsid w:val="009E2983"/>
    <w:rsid w:val="009F39DA"/>
    <w:rsid w:val="00A118CD"/>
    <w:rsid w:val="00A14697"/>
    <w:rsid w:val="00A17C91"/>
    <w:rsid w:val="00A2759E"/>
    <w:rsid w:val="00A40A52"/>
    <w:rsid w:val="00A41952"/>
    <w:rsid w:val="00A53890"/>
    <w:rsid w:val="00A617DC"/>
    <w:rsid w:val="00A73B98"/>
    <w:rsid w:val="00A76B99"/>
    <w:rsid w:val="00A807FE"/>
    <w:rsid w:val="00A86470"/>
    <w:rsid w:val="00AA6B88"/>
    <w:rsid w:val="00AB082C"/>
    <w:rsid w:val="00AB62CE"/>
    <w:rsid w:val="00AC10CF"/>
    <w:rsid w:val="00AD2BA9"/>
    <w:rsid w:val="00B001AA"/>
    <w:rsid w:val="00B13A04"/>
    <w:rsid w:val="00B2152C"/>
    <w:rsid w:val="00B8538C"/>
    <w:rsid w:val="00B8786F"/>
    <w:rsid w:val="00BD36FC"/>
    <w:rsid w:val="00BD4B5C"/>
    <w:rsid w:val="00BD4D76"/>
    <w:rsid w:val="00BE2D6D"/>
    <w:rsid w:val="00BE6FB8"/>
    <w:rsid w:val="00C17703"/>
    <w:rsid w:val="00C2625B"/>
    <w:rsid w:val="00C45DA9"/>
    <w:rsid w:val="00C46558"/>
    <w:rsid w:val="00C5215A"/>
    <w:rsid w:val="00C575EE"/>
    <w:rsid w:val="00C61025"/>
    <w:rsid w:val="00C65EA3"/>
    <w:rsid w:val="00C849B2"/>
    <w:rsid w:val="00C97303"/>
    <w:rsid w:val="00CA7674"/>
    <w:rsid w:val="00CB3BA0"/>
    <w:rsid w:val="00CE5112"/>
    <w:rsid w:val="00CF7A93"/>
    <w:rsid w:val="00CF7C24"/>
    <w:rsid w:val="00D228EC"/>
    <w:rsid w:val="00DB3751"/>
    <w:rsid w:val="00DB5048"/>
    <w:rsid w:val="00DC6218"/>
    <w:rsid w:val="00DD4AD6"/>
    <w:rsid w:val="00DD5A6A"/>
    <w:rsid w:val="00DD6453"/>
    <w:rsid w:val="00E02D59"/>
    <w:rsid w:val="00E367C8"/>
    <w:rsid w:val="00E3781D"/>
    <w:rsid w:val="00E4666D"/>
    <w:rsid w:val="00E47FBF"/>
    <w:rsid w:val="00E63014"/>
    <w:rsid w:val="00E855B8"/>
    <w:rsid w:val="00E973AD"/>
    <w:rsid w:val="00EC324C"/>
    <w:rsid w:val="00ED7391"/>
    <w:rsid w:val="00EF56C1"/>
    <w:rsid w:val="00F171D6"/>
    <w:rsid w:val="00F45178"/>
    <w:rsid w:val="00F601FE"/>
    <w:rsid w:val="00F91A77"/>
    <w:rsid w:val="00F940FC"/>
    <w:rsid w:val="00FA58F9"/>
    <w:rsid w:val="00FA6C2F"/>
    <w:rsid w:val="00FA7991"/>
    <w:rsid w:val="00FB05AF"/>
    <w:rsid w:val="00FB2674"/>
    <w:rsid w:val="00FB26C2"/>
    <w:rsid w:val="00FF2521"/>
    <w:rsid w:val="28BA68B6"/>
    <w:rsid w:val="2EC05AE2"/>
    <w:rsid w:val="54B465E5"/>
    <w:rsid w:val="601F4251"/>
    <w:rsid w:val="6EE9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72DBF6-1D88-4AF3-9FDC-8B6744D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406</Words>
  <Characters>2315</Characters>
  <Application>Microsoft Office Word</Application>
  <DocSecurity>0</DocSecurity>
  <Lines>19</Lines>
  <Paragraphs>5</Paragraphs>
  <ScaleCrop>false</ScaleCrop>
  <Company>Lenovo</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rong</cp:lastModifiedBy>
  <cp:revision>215</cp:revision>
  <dcterms:created xsi:type="dcterms:W3CDTF">2019-06-20T05:47:00Z</dcterms:created>
  <dcterms:modified xsi:type="dcterms:W3CDTF">2019-07-01T01:53:00Z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