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C0" w:rsidRDefault="00E543C0" w:rsidP="00E543C0">
      <w:pPr>
        <w:jc w:val="left"/>
        <w:rPr>
          <w:b/>
          <w:bCs/>
          <w:sz w:val="32"/>
          <w:szCs w:val="40"/>
        </w:rPr>
      </w:pPr>
      <w:r>
        <w:rPr>
          <w:rFonts w:hint="eastAsia"/>
          <w:b/>
          <w:bCs/>
          <w:sz w:val="32"/>
          <w:szCs w:val="40"/>
        </w:rPr>
        <w:t>附件</w:t>
      </w:r>
      <w:r>
        <w:rPr>
          <w:rFonts w:hint="eastAsia"/>
          <w:b/>
          <w:bCs/>
          <w:sz w:val="32"/>
          <w:szCs w:val="40"/>
        </w:rPr>
        <w:t>1</w:t>
      </w:r>
      <w:r>
        <w:rPr>
          <w:rFonts w:hint="eastAsia"/>
          <w:b/>
          <w:bCs/>
          <w:sz w:val="32"/>
          <w:szCs w:val="40"/>
        </w:rPr>
        <w:t>：</w:t>
      </w:r>
    </w:p>
    <w:p w:rsidR="00E543C0" w:rsidRDefault="00E543C0" w:rsidP="00E543C0">
      <w:pPr>
        <w:snapToGrid w:val="0"/>
        <w:spacing w:beforeLines="50" w:before="156" w:afterLines="50" w:after="156"/>
        <w:ind w:leftChars="-100" w:left="-210" w:rightChars="-100" w:right="-210"/>
        <w:jc w:val="center"/>
        <w:rPr>
          <w:rFonts w:hint="eastAsia"/>
          <w:bCs/>
          <w:sz w:val="32"/>
          <w:szCs w:val="32"/>
        </w:rPr>
      </w:pPr>
      <w:r>
        <w:rPr>
          <w:rFonts w:hint="eastAsia"/>
          <w:b/>
          <w:bCs/>
          <w:sz w:val="36"/>
          <w:szCs w:val="44"/>
        </w:rPr>
        <w:t>江苏高等教育质量保障与评价研究</w:t>
      </w:r>
      <w:r>
        <w:rPr>
          <w:rFonts w:hint="eastAsia"/>
          <w:b/>
          <w:bCs/>
          <w:sz w:val="36"/>
          <w:szCs w:val="44"/>
        </w:rPr>
        <w:t>2020</w:t>
      </w:r>
      <w:r>
        <w:rPr>
          <w:rFonts w:hint="eastAsia"/>
          <w:b/>
          <w:bCs/>
          <w:sz w:val="36"/>
          <w:szCs w:val="44"/>
        </w:rPr>
        <w:t>年度课题立项名单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361"/>
        <w:gridCol w:w="1898"/>
        <w:gridCol w:w="1017"/>
        <w:gridCol w:w="1304"/>
      </w:tblGrid>
      <w:tr w:rsidR="00E543C0" w:rsidTr="009E556C">
        <w:trPr>
          <w:trHeight w:val="606"/>
          <w:tblHeader/>
          <w:jc w:val="center"/>
        </w:trPr>
        <w:tc>
          <w:tcPr>
            <w:tcW w:w="774" w:type="dxa"/>
            <w:vAlign w:val="center"/>
          </w:tcPr>
          <w:p w:rsidR="00E543C0" w:rsidRDefault="00E543C0" w:rsidP="009E556C">
            <w:pPr>
              <w:jc w:val="center"/>
              <w:rPr>
                <w:rFonts w:hint="eastAsia"/>
                <w:sz w:val="24"/>
              </w:rPr>
            </w:pPr>
            <w:r>
              <w:rPr>
                <w:rFonts w:hint="eastAsia"/>
                <w:b/>
                <w:bCs/>
                <w:color w:val="000000"/>
                <w:sz w:val="24"/>
              </w:rPr>
              <w:t>序号</w:t>
            </w:r>
          </w:p>
        </w:tc>
        <w:tc>
          <w:tcPr>
            <w:tcW w:w="4361" w:type="dxa"/>
            <w:vAlign w:val="center"/>
          </w:tcPr>
          <w:p w:rsidR="00E543C0" w:rsidRDefault="00E543C0" w:rsidP="009E556C">
            <w:pPr>
              <w:jc w:val="center"/>
              <w:rPr>
                <w:rFonts w:hint="eastAsia"/>
                <w:sz w:val="24"/>
              </w:rPr>
            </w:pPr>
            <w:r>
              <w:rPr>
                <w:rFonts w:hint="eastAsia"/>
                <w:b/>
                <w:bCs/>
                <w:color w:val="000000"/>
                <w:sz w:val="24"/>
              </w:rPr>
              <w:t>课题名称</w:t>
            </w:r>
          </w:p>
        </w:tc>
        <w:tc>
          <w:tcPr>
            <w:tcW w:w="1898" w:type="dxa"/>
            <w:vAlign w:val="center"/>
          </w:tcPr>
          <w:p w:rsidR="00E543C0" w:rsidRDefault="00E543C0" w:rsidP="009E556C">
            <w:pPr>
              <w:jc w:val="center"/>
              <w:rPr>
                <w:rFonts w:hint="eastAsia"/>
                <w:sz w:val="24"/>
              </w:rPr>
            </w:pPr>
            <w:r>
              <w:rPr>
                <w:rFonts w:hint="eastAsia"/>
                <w:b/>
                <w:bCs/>
                <w:color w:val="000000"/>
                <w:sz w:val="24"/>
              </w:rPr>
              <w:t>承担单位</w:t>
            </w:r>
          </w:p>
        </w:tc>
        <w:tc>
          <w:tcPr>
            <w:tcW w:w="1017" w:type="dxa"/>
            <w:vAlign w:val="center"/>
          </w:tcPr>
          <w:p w:rsidR="00E543C0" w:rsidRDefault="00E543C0" w:rsidP="009E556C">
            <w:pPr>
              <w:jc w:val="center"/>
              <w:rPr>
                <w:rFonts w:hint="eastAsia"/>
                <w:sz w:val="24"/>
              </w:rPr>
            </w:pPr>
            <w:r>
              <w:rPr>
                <w:rFonts w:hint="eastAsia"/>
                <w:b/>
                <w:bCs/>
                <w:color w:val="000000"/>
                <w:sz w:val="24"/>
              </w:rPr>
              <w:t>负责人</w:t>
            </w:r>
          </w:p>
        </w:tc>
        <w:tc>
          <w:tcPr>
            <w:tcW w:w="1304" w:type="dxa"/>
            <w:vAlign w:val="center"/>
          </w:tcPr>
          <w:p w:rsidR="00E543C0" w:rsidRDefault="00E543C0" w:rsidP="009E556C">
            <w:pPr>
              <w:jc w:val="center"/>
              <w:rPr>
                <w:rFonts w:hint="eastAsia"/>
                <w:sz w:val="24"/>
              </w:rPr>
            </w:pPr>
            <w:r>
              <w:rPr>
                <w:rFonts w:hint="eastAsia"/>
                <w:b/>
                <w:bCs/>
                <w:color w:val="000000"/>
                <w:sz w:val="24"/>
              </w:rPr>
              <w:t>立项情况</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w:t>
            </w:r>
          </w:p>
        </w:tc>
        <w:tc>
          <w:tcPr>
            <w:tcW w:w="4361" w:type="dxa"/>
            <w:vAlign w:val="center"/>
          </w:tcPr>
          <w:p w:rsidR="00E543C0" w:rsidRDefault="00E543C0" w:rsidP="009E556C">
            <w:pPr>
              <w:widowControl/>
              <w:jc w:val="left"/>
              <w:textAlignment w:val="center"/>
              <w:rPr>
                <w:rFonts w:hint="eastAsia"/>
                <w:b/>
                <w:bCs/>
                <w:szCs w:val="21"/>
              </w:rPr>
            </w:pPr>
            <w:r>
              <w:rPr>
                <w:rFonts w:ascii="仿宋" w:eastAsia="仿宋" w:hAnsi="仿宋" w:hint="eastAsia"/>
                <w:color w:val="000000"/>
                <w:szCs w:val="21"/>
              </w:rPr>
              <w:t>一流课程建设背景下在线课程建设评价体系的循证与实践研究</w:t>
            </w:r>
          </w:p>
        </w:tc>
        <w:tc>
          <w:tcPr>
            <w:tcW w:w="1898"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东南大学</w:t>
            </w:r>
          </w:p>
        </w:tc>
        <w:tc>
          <w:tcPr>
            <w:tcW w:w="1017"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金辉</w:t>
            </w:r>
          </w:p>
        </w:tc>
        <w:tc>
          <w:tcPr>
            <w:tcW w:w="1304" w:type="dxa"/>
            <w:vAlign w:val="center"/>
          </w:tcPr>
          <w:p w:rsidR="00E543C0" w:rsidRDefault="00E543C0" w:rsidP="009E556C">
            <w:pPr>
              <w:jc w:val="center"/>
              <w:rPr>
                <w:rFonts w:hint="eastAsia"/>
                <w:b/>
                <w:bCs/>
                <w:szCs w:val="21"/>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w:t>
            </w:r>
          </w:p>
        </w:tc>
        <w:tc>
          <w:tcPr>
            <w:tcW w:w="4361" w:type="dxa"/>
            <w:vAlign w:val="center"/>
          </w:tcPr>
          <w:p w:rsidR="00E543C0" w:rsidRDefault="00E543C0" w:rsidP="009E556C">
            <w:pPr>
              <w:widowControl/>
              <w:jc w:val="left"/>
              <w:textAlignment w:val="center"/>
              <w:rPr>
                <w:rFonts w:hint="eastAsia"/>
                <w:b/>
                <w:bCs/>
                <w:szCs w:val="21"/>
              </w:rPr>
            </w:pPr>
            <w:r>
              <w:rPr>
                <w:rFonts w:ascii="仿宋" w:eastAsia="仿宋" w:hAnsi="仿宋" w:hint="eastAsia"/>
                <w:color w:val="000000"/>
                <w:szCs w:val="21"/>
              </w:rPr>
              <w:t xml:space="preserve">基于 OBE 理念的地方高校课程教学质量评价体系的实践研究——以江苏理工学院为例 </w:t>
            </w:r>
          </w:p>
        </w:tc>
        <w:tc>
          <w:tcPr>
            <w:tcW w:w="1898"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江苏理工学院</w:t>
            </w:r>
          </w:p>
        </w:tc>
        <w:tc>
          <w:tcPr>
            <w:tcW w:w="1017"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周兰珍</w:t>
            </w:r>
          </w:p>
        </w:tc>
        <w:tc>
          <w:tcPr>
            <w:tcW w:w="1304" w:type="dxa"/>
            <w:vAlign w:val="center"/>
          </w:tcPr>
          <w:p w:rsidR="00E543C0" w:rsidRDefault="00E543C0" w:rsidP="009E556C">
            <w:pPr>
              <w:jc w:val="center"/>
              <w:rPr>
                <w:rFonts w:hint="eastAsia"/>
                <w:b/>
                <w:bCs/>
                <w:szCs w:val="21"/>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w:t>
            </w:r>
          </w:p>
        </w:tc>
        <w:tc>
          <w:tcPr>
            <w:tcW w:w="4361" w:type="dxa"/>
            <w:vAlign w:val="center"/>
          </w:tcPr>
          <w:p w:rsidR="00E543C0" w:rsidRDefault="00E543C0" w:rsidP="009E556C">
            <w:pPr>
              <w:widowControl/>
              <w:jc w:val="left"/>
              <w:textAlignment w:val="center"/>
              <w:rPr>
                <w:rFonts w:hint="eastAsia"/>
                <w:b/>
                <w:bCs/>
                <w:szCs w:val="21"/>
              </w:rPr>
            </w:pPr>
            <w:r>
              <w:rPr>
                <w:rFonts w:ascii="仿宋" w:eastAsia="仿宋" w:hAnsi="仿宋" w:hint="eastAsia"/>
                <w:color w:val="000000"/>
                <w:szCs w:val="21"/>
              </w:rPr>
              <w:t>专业高质量发展的路径研究与实践</w:t>
            </w:r>
          </w:p>
        </w:tc>
        <w:tc>
          <w:tcPr>
            <w:tcW w:w="1898"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江苏师范大学</w:t>
            </w:r>
          </w:p>
        </w:tc>
        <w:tc>
          <w:tcPr>
            <w:tcW w:w="1017" w:type="dxa"/>
            <w:vAlign w:val="center"/>
          </w:tcPr>
          <w:p w:rsidR="00E543C0" w:rsidRDefault="00E543C0" w:rsidP="009E556C">
            <w:pPr>
              <w:widowControl/>
              <w:jc w:val="center"/>
              <w:textAlignment w:val="center"/>
              <w:rPr>
                <w:rFonts w:ascii="仿宋" w:eastAsia="仿宋" w:hAnsi="仿宋"/>
                <w:color w:val="000000"/>
                <w:szCs w:val="21"/>
              </w:rPr>
            </w:pPr>
            <w:r>
              <w:rPr>
                <w:rFonts w:ascii="仿宋" w:eastAsia="仿宋" w:hAnsi="仿宋" w:hint="eastAsia"/>
                <w:color w:val="000000"/>
                <w:szCs w:val="21"/>
              </w:rPr>
              <w:t xml:space="preserve">赵鹏 </w:t>
            </w:r>
          </w:p>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王保健</w:t>
            </w:r>
          </w:p>
        </w:tc>
        <w:tc>
          <w:tcPr>
            <w:tcW w:w="1304" w:type="dxa"/>
            <w:vAlign w:val="center"/>
          </w:tcPr>
          <w:p w:rsidR="00E543C0" w:rsidRDefault="00E543C0" w:rsidP="009E556C">
            <w:pPr>
              <w:jc w:val="center"/>
              <w:rPr>
                <w:rFonts w:hint="eastAsia"/>
                <w:b/>
                <w:bCs/>
                <w:szCs w:val="21"/>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w:t>
            </w:r>
          </w:p>
        </w:tc>
        <w:tc>
          <w:tcPr>
            <w:tcW w:w="4361" w:type="dxa"/>
            <w:vAlign w:val="center"/>
          </w:tcPr>
          <w:p w:rsidR="00E543C0" w:rsidRDefault="00E543C0" w:rsidP="009E556C">
            <w:pPr>
              <w:widowControl/>
              <w:jc w:val="left"/>
              <w:textAlignment w:val="center"/>
              <w:rPr>
                <w:rFonts w:hint="eastAsia"/>
                <w:b/>
                <w:bCs/>
                <w:szCs w:val="21"/>
              </w:rPr>
            </w:pPr>
            <w:r>
              <w:rPr>
                <w:rFonts w:ascii="仿宋" w:eastAsia="仿宋" w:hAnsi="仿宋" w:hint="eastAsia"/>
                <w:color w:val="000000"/>
                <w:szCs w:val="21"/>
              </w:rPr>
              <w:t>校企融合人才培养模式下会计学专业教学质量保障机制探究</w:t>
            </w:r>
          </w:p>
        </w:tc>
        <w:tc>
          <w:tcPr>
            <w:tcW w:w="1898"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金陵科技学院</w:t>
            </w:r>
          </w:p>
        </w:tc>
        <w:tc>
          <w:tcPr>
            <w:tcW w:w="1017" w:type="dxa"/>
            <w:vAlign w:val="center"/>
          </w:tcPr>
          <w:p w:rsidR="00E543C0" w:rsidRDefault="00E543C0" w:rsidP="009E556C">
            <w:pPr>
              <w:widowControl/>
              <w:jc w:val="center"/>
              <w:textAlignment w:val="center"/>
              <w:rPr>
                <w:rFonts w:ascii="仿宋" w:eastAsia="仿宋" w:hAnsi="仿宋"/>
                <w:color w:val="000000"/>
                <w:szCs w:val="21"/>
              </w:rPr>
            </w:pPr>
            <w:r>
              <w:rPr>
                <w:rFonts w:ascii="仿宋" w:eastAsia="仿宋" w:hAnsi="仿宋" w:hint="eastAsia"/>
                <w:color w:val="000000"/>
                <w:szCs w:val="21"/>
              </w:rPr>
              <w:t xml:space="preserve">葛军 </w:t>
            </w:r>
          </w:p>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刘源</w:t>
            </w:r>
          </w:p>
        </w:tc>
        <w:tc>
          <w:tcPr>
            <w:tcW w:w="1304" w:type="dxa"/>
            <w:vAlign w:val="center"/>
          </w:tcPr>
          <w:p w:rsidR="00E543C0" w:rsidRDefault="00E543C0" w:rsidP="009E556C">
            <w:pPr>
              <w:jc w:val="center"/>
              <w:rPr>
                <w:rFonts w:hint="eastAsia"/>
                <w:b/>
                <w:bCs/>
                <w:szCs w:val="21"/>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w:t>
            </w:r>
          </w:p>
        </w:tc>
        <w:tc>
          <w:tcPr>
            <w:tcW w:w="4361" w:type="dxa"/>
            <w:vAlign w:val="center"/>
          </w:tcPr>
          <w:p w:rsidR="00E543C0" w:rsidRDefault="00E543C0" w:rsidP="009E556C">
            <w:pPr>
              <w:widowControl/>
              <w:jc w:val="left"/>
              <w:textAlignment w:val="center"/>
              <w:rPr>
                <w:rFonts w:hint="eastAsia"/>
                <w:b/>
                <w:bCs/>
                <w:szCs w:val="21"/>
              </w:rPr>
            </w:pPr>
            <w:r>
              <w:rPr>
                <w:rFonts w:ascii="仿宋" w:eastAsia="仿宋" w:hAnsi="仿宋" w:hint="eastAsia"/>
                <w:color w:val="000000"/>
                <w:szCs w:val="21"/>
              </w:rPr>
              <w:t>一流课程建设背景下课程建设评价体系研究</w:t>
            </w:r>
          </w:p>
        </w:tc>
        <w:tc>
          <w:tcPr>
            <w:tcW w:w="1898"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南京林业大学</w:t>
            </w:r>
          </w:p>
        </w:tc>
        <w:tc>
          <w:tcPr>
            <w:tcW w:w="1017" w:type="dxa"/>
            <w:vAlign w:val="center"/>
          </w:tcPr>
          <w:p w:rsidR="00E543C0" w:rsidRDefault="00E543C0" w:rsidP="009E556C">
            <w:pPr>
              <w:widowControl/>
              <w:jc w:val="center"/>
              <w:textAlignment w:val="center"/>
              <w:rPr>
                <w:rFonts w:hint="eastAsia"/>
                <w:b/>
                <w:bCs/>
                <w:szCs w:val="21"/>
              </w:rPr>
            </w:pPr>
            <w:r>
              <w:rPr>
                <w:rFonts w:ascii="仿宋" w:eastAsia="仿宋" w:hAnsi="仿宋" w:hint="eastAsia"/>
                <w:color w:val="000000"/>
                <w:szCs w:val="21"/>
              </w:rPr>
              <w:t>王立彬</w:t>
            </w:r>
          </w:p>
        </w:tc>
        <w:tc>
          <w:tcPr>
            <w:tcW w:w="1304" w:type="dxa"/>
            <w:vAlign w:val="center"/>
          </w:tcPr>
          <w:p w:rsidR="00E543C0" w:rsidRDefault="00E543C0" w:rsidP="009E556C">
            <w:pPr>
              <w:jc w:val="center"/>
              <w:rPr>
                <w:rFonts w:hint="eastAsia"/>
                <w:b/>
                <w:bCs/>
                <w:szCs w:val="21"/>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以“学生为中心” 的双一流高校教学质量保障与持续改进机制研究--基于“江苏省专业综合评估”核心指标</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南京信息工程大学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郭照冰</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bookmarkStart w:id="0" w:name="RANGE!B10"/>
            <w:r>
              <w:rPr>
                <w:rFonts w:ascii="仿宋" w:eastAsia="仿宋" w:hAnsi="仿宋" w:hint="eastAsia"/>
                <w:color w:val="000000"/>
                <w:szCs w:val="21"/>
              </w:rPr>
              <w:t xml:space="preserve">以立德树人为根本，构建中医药人才“三全育人”评价体系的研 究 </w:t>
            </w:r>
            <w:bookmarkEnd w:id="0"/>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南京中医药大学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徐桂华</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color w:val="000000"/>
                <w:szCs w:val="21"/>
              </w:rPr>
              <w:t>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基于数据驱动的高校教学质量持续改进机制研究与实践</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常州大学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徐薇薇</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color w:val="000000"/>
                <w:szCs w:val="21"/>
              </w:rPr>
              <w:t>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“以学生为中心”的高职院校课堂教学质量评价指标体系研究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南京信息职业技术学院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陈婷婷</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color w:val="000000"/>
                <w:szCs w:val="21"/>
              </w:rPr>
              <w:t>10</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基于深度学习的学前教育专业课堂教学评价指标体系研究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苏州幼儿师范高等专科学校</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陈彧洁</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重点资助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w:t>
            </w:r>
            <w:r>
              <w:rPr>
                <w:rFonts w:ascii="仿宋" w:eastAsia="仿宋" w:hAnsi="仿宋"/>
                <w:color w:val="000000"/>
                <w:szCs w:val="21"/>
              </w:rPr>
              <w:t>1</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应用型本科院校商科ACBSP国际认证评价标准研究-以常熟理工学院为例</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常熟理工学院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曹志鹏</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12</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产教融合背景下地方高校专业结构优化调整机制研究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常州工学院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邹一琴 夏小燕 </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13</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一流专业建设背景下本科专业评价体系研究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东南大学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陈志斌</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14</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食品科学与工程一流物理类课程群建设评价体系研究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邹小波</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lastRenderedPageBreak/>
              <w:t>15</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江苏高等教育质量评估体系研究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金陵科技学院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聂卫东</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大数据在高校教学质量评价体系中的运用研究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南京财经大学</w:t>
            </w:r>
          </w:p>
        </w:tc>
        <w:tc>
          <w:tcPr>
            <w:tcW w:w="1017" w:type="dxa"/>
            <w:vAlign w:val="center"/>
          </w:tcPr>
          <w:p w:rsidR="00E543C0" w:rsidRDefault="00E543C0" w:rsidP="009E556C">
            <w:pPr>
              <w:widowControl/>
              <w:jc w:val="center"/>
              <w:textAlignment w:val="center"/>
              <w:rPr>
                <w:rFonts w:ascii="仿宋" w:eastAsia="仿宋" w:hAnsi="仿宋"/>
                <w:color w:val="000000"/>
                <w:szCs w:val="21"/>
              </w:rPr>
            </w:pPr>
            <w:r>
              <w:rPr>
                <w:rFonts w:ascii="仿宋" w:eastAsia="仿宋" w:hAnsi="仿宋" w:hint="eastAsia"/>
                <w:color w:val="000000"/>
                <w:szCs w:val="21"/>
              </w:rPr>
              <w:t>张春法 何玉</w:t>
            </w:r>
          </w:p>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刘云</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一流课程建设背景下应用型本科课程建设评价体系研究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南京工程学院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窦亚芹</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多位驱动、螺旋上升——工程教育专业认证持续改进保障机制研究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南京工业大学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翟安英 王济奎</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19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基于专业认证的高校内部质量保障体系及运行机制研究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南京林业大学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孙芹菊</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20</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以学生为主体的应用型本科院校一流专业课程建设评价指标研究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南京森林警察学院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杨雁莹</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21</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基于博弈论的天元班有机化学教学评价体系的优化</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南京医科大学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姜慧君 居一春</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22</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5G+AI新时代新工科法治教育新思考新实践</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南京邮电大学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王全全</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23</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基于“一流学科”的中医药本科教育质量评估</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南京中医药大学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黄滋淳</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24</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一流课程建设背景下基于OBE理念的形成性评价体系在中医临床课程中的应用研究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南京中医药大学</w:t>
            </w:r>
          </w:p>
        </w:tc>
        <w:tc>
          <w:tcPr>
            <w:tcW w:w="1017" w:type="dxa"/>
            <w:vAlign w:val="center"/>
          </w:tcPr>
          <w:p w:rsidR="00E543C0" w:rsidRDefault="00E543C0" w:rsidP="009E556C">
            <w:pPr>
              <w:widowControl/>
              <w:jc w:val="center"/>
              <w:textAlignment w:val="center"/>
              <w:rPr>
                <w:rFonts w:ascii="仿宋" w:eastAsia="仿宋" w:hAnsi="仿宋"/>
                <w:color w:val="000000"/>
                <w:szCs w:val="21"/>
              </w:rPr>
            </w:pPr>
            <w:r>
              <w:rPr>
                <w:rFonts w:ascii="仿宋" w:eastAsia="仿宋" w:hAnsi="仿宋" w:hint="eastAsia"/>
                <w:color w:val="000000"/>
                <w:szCs w:val="21"/>
              </w:rPr>
              <w:t>朱震</w:t>
            </w:r>
          </w:p>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张世勤</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25</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基于《悉尼协议》的高职土建类专业群建设路径研究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江苏建筑职业技术学院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曹洪吉 于明旭</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高职在线课程教学质量保证“教、学、考、评”一体化研究与实践</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江苏农牧科技职业学院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刘俊栋</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“三位一体”模式下课政融合类课程评价指标研究 ——以《旅游策划》课程为例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南京旅游职业学院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宋立</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智慧教育背景下的发展性教学质量监控与评价实践研究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苏州工业园区服务外包职业学院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杜梓平</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29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高职院公共平台课程教学质量监测与评价指标研究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徐州工业职业技术学院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戎晓红</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一般资助</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lastRenderedPageBreak/>
              <w:t>30</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高校专业课教学的“课程思政”建设及评价体系探索——以有机化学课程为例</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东南大学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郭玲香</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31</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基于雨课堂的生活方式与健康课程形成性评价体系构建</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东南大学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张晖</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32</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“双万计划”背景下本科专业教学质量评价指标体系构建及其应用研究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张心洁</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33</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高校师范专业评估认证的标准比较与实践反思</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江苏第二师范学院</w:t>
            </w:r>
          </w:p>
        </w:tc>
        <w:tc>
          <w:tcPr>
            <w:tcW w:w="1017" w:type="dxa"/>
            <w:vAlign w:val="center"/>
          </w:tcPr>
          <w:p w:rsidR="00E543C0" w:rsidRDefault="00E543C0" w:rsidP="009E556C">
            <w:pPr>
              <w:widowControl/>
              <w:jc w:val="center"/>
              <w:textAlignment w:val="center"/>
              <w:rPr>
                <w:rFonts w:ascii="仿宋" w:eastAsia="仿宋" w:hAnsi="仿宋"/>
                <w:color w:val="000000"/>
                <w:szCs w:val="21"/>
              </w:rPr>
            </w:pPr>
            <w:r>
              <w:rPr>
                <w:rFonts w:ascii="仿宋" w:eastAsia="仿宋" w:hAnsi="仿宋" w:hint="eastAsia"/>
                <w:color w:val="000000"/>
                <w:szCs w:val="21"/>
              </w:rPr>
              <w:t xml:space="preserve">陈蓓 </w:t>
            </w:r>
          </w:p>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石莹</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34</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教育信息化时代高校实验教学质量评价体系、方式和方法的 实践与研究——以《大学物理实验》为例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江苏理工学院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朱小芹 高琪</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35</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师范类专业认证背景下师范生教学反思能力培养策略探索与实践研究——以数学师范专业为例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江苏理工学院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朱鹏</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一流专业建设背景下艺术设计类本科专业“工作室制”教学模式的评价体系研究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江苏理工学院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邰杰</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新媒体环境下对师范类高校思想政治课程建设的探索</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江苏师范大学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满在江 朱玉斌</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新工科视阈下应用型本科院校土建类专业 实践创新能力评价体系的构建与实践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金陵科技学院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贾慧娟  宣卫红 </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39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一流专业建设背景下“新农科”专业 课程建设评价体系研究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金陵科技学院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王长义 郝振萍 姚怡甜 </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40</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基于灰色理论的江苏本科教育质量评价</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南京财经大学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吴波</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41</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“柔性考核” 驱动的教学质量评价机制与EXCEL 实践平台建设</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南京财经大学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王月虎</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42</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基于大数据融合与相对绩效的一流本科专业教育质量评价体系研究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南京工程学院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王志亮</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43</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以学为中心的高校教师课堂教学能力评估与诊断研究—基于教学质量评价数据挖掘为视角</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南京工程学院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孙文静</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44</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以工程教育认证为导向的林业院校机械类专业人才培养质量标准及评价体系研究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南京林业大学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李建华</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lastRenderedPageBreak/>
              <w:t>45</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一流课程视野下课程建设机制研究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南京审计大学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陈婕</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财经类院校产教融合的发展路径与绩效评价</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南京审计大学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杨鹏程</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口腔医学生医患沟通能力考评体系的创建与研究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南京医科大学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张玮</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基于认知灵活性理论的时间轴支架构建及在高等教育PBL/CBL中的实践探索</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南京医科大学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唐慧婷</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49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基于互联网的教学评估与质控平台的建设与研究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南京医科大学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王岩 </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50</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遵循“建构”理论的艺术类院校环境设计专业建造教学研究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南京艺术学院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施煜庭</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51</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境外临床医学专业基础医学课程教育质量控制探索——以医学免疫学为例</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南京中医药大学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张军峰</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52</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江苏医学院校教研协同育质量评价体系研究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南京中医药大学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高丽娜</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53</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医学本科院校大学生创业教育质量保障与评价体系研究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徐州医科大学</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胡俊峰</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54</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基于“金课”建设的地方本科高校课程质量评估机制研究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盐城工学院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孙长银 蔡小平</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55</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一流专业建设背景下汉语言文学本科专业“1+2+3”教育质量评价体系构建与实践研究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盐城师范学院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张怡春</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一流专业建设背景下本科专业评价体系研究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东南大学成贤学院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高祥生</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多元主体创新驱动下江苏本科一流专业评价体系构建及实证研究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江苏大学京江学院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赵桂芹 </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 CIPP 模型高校实践课程评价体系研究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三江学院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蒋建华 </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59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智慧教学环境下英语专业核心课程质量动态评估监测体系的建构</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三江学院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楼毅</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lastRenderedPageBreak/>
              <w:t>60</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高职院校“有效课堂认证”探索与实践</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江苏财经职业技术学院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刘锦翠</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61</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基于区块链技术的高职信息化课堂教学评价模式的研究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江苏建筑职业技术学院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贾晨曦</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62</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教育信息化时代高职思政理论课教学质量评价体系研究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江苏商贸职业学院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王鑫</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63</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扩招百万背景下高职院校课程评价指标研究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南京工业职业技术学院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王云凤</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64</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大数据在高校教学质量评价体系中的运用研究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南京信息职业技术学院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乔洁</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65</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高水平院校建设视域下的艺术设计专业结构动态优化调整机制研究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南通航运职业技术学院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石硕</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66</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“双高”背景下高职专业评价指标体系研究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苏州农业职业技术学院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仇恒佳</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67</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扬子江城市群高等职业教育社会服务能力评价指标体系的构建与研究</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扬州工业职业技术学院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沈王仙子</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68</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新建民办高职院校工程造价专业课程质量评价指标研究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扬州中瑞酒店职业学院 </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阚张飞</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r w:rsidR="00E543C0" w:rsidTr="009E556C">
        <w:trPr>
          <w:trHeight w:val="850"/>
          <w:jc w:val="center"/>
        </w:trPr>
        <w:tc>
          <w:tcPr>
            <w:tcW w:w="77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69</w:t>
            </w:r>
          </w:p>
        </w:tc>
        <w:tc>
          <w:tcPr>
            <w:tcW w:w="4361" w:type="dxa"/>
            <w:vAlign w:val="center"/>
          </w:tcPr>
          <w:p w:rsidR="00E543C0" w:rsidRDefault="00E543C0" w:rsidP="009E556C">
            <w:pPr>
              <w:widowControl/>
              <w:jc w:val="left"/>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 xml:space="preserve">高职院校内部专业质量监控与优化机制研究 </w:t>
            </w:r>
          </w:p>
        </w:tc>
        <w:tc>
          <w:tcPr>
            <w:tcW w:w="1898"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江苏财会职业学院</w:t>
            </w:r>
          </w:p>
        </w:tc>
        <w:tc>
          <w:tcPr>
            <w:tcW w:w="1017"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王传斌</w:t>
            </w:r>
          </w:p>
        </w:tc>
        <w:tc>
          <w:tcPr>
            <w:tcW w:w="1304" w:type="dxa"/>
            <w:vAlign w:val="center"/>
          </w:tcPr>
          <w:p w:rsidR="00E543C0" w:rsidRDefault="00E543C0" w:rsidP="009E556C">
            <w:pPr>
              <w:widowControl/>
              <w:jc w:val="center"/>
              <w:textAlignment w:val="center"/>
              <w:rPr>
                <w:rFonts w:ascii="仿宋" w:eastAsia="仿宋" w:hAnsi="仿宋" w:cs="仿宋" w:hint="eastAsia"/>
                <w:color w:val="000000"/>
                <w:kern w:val="0"/>
                <w:szCs w:val="21"/>
                <w:lang w:bidi="ar"/>
              </w:rPr>
            </w:pPr>
            <w:r>
              <w:rPr>
                <w:rFonts w:ascii="仿宋" w:eastAsia="仿宋" w:hAnsi="仿宋" w:hint="eastAsia"/>
                <w:color w:val="000000"/>
                <w:szCs w:val="21"/>
              </w:rPr>
              <w:t>立项</w:t>
            </w:r>
          </w:p>
        </w:tc>
      </w:tr>
    </w:tbl>
    <w:p w:rsidR="00E543C0" w:rsidRDefault="00E543C0" w:rsidP="00E543C0">
      <w:pPr>
        <w:widowControl/>
        <w:jc w:val="left"/>
        <w:rPr>
          <w:rFonts w:ascii="宋体" w:hAnsi="宋体" w:cs="宋体" w:hint="eastAsia"/>
          <w:kern w:val="0"/>
          <w:sz w:val="24"/>
        </w:rPr>
      </w:pPr>
    </w:p>
    <w:p w:rsidR="001B3780" w:rsidRDefault="001B3780">
      <w:bookmarkStart w:id="1" w:name="_GoBack"/>
      <w:bookmarkEnd w:id="1"/>
    </w:p>
    <w:sectPr w:rsidR="001B3780">
      <w:footerReference w:type="default" r:id="rId4"/>
      <w:pgSz w:w="11906" w:h="16838"/>
      <w:pgMar w:top="1242" w:right="1417" w:bottom="1440" w:left="1417"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543C0">
    <w:pPr>
      <w:pStyle w:val="a3"/>
      <w:jc w:val="center"/>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E543C0">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E543C0">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C0"/>
    <w:rsid w:val="001B3780"/>
    <w:rsid w:val="00E5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35DC1C-36E1-4AEC-82EE-75225517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43C0"/>
    <w:pPr>
      <w:tabs>
        <w:tab w:val="center" w:pos="4153"/>
        <w:tab w:val="right" w:pos="8306"/>
      </w:tabs>
      <w:snapToGrid w:val="0"/>
      <w:jc w:val="left"/>
    </w:pPr>
    <w:rPr>
      <w:sz w:val="18"/>
      <w:szCs w:val="18"/>
    </w:rPr>
  </w:style>
  <w:style w:type="character" w:customStyle="1" w:styleId="Char">
    <w:name w:val="页脚 Char"/>
    <w:basedOn w:val="a0"/>
    <w:link w:val="a3"/>
    <w:rsid w:val="00E543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1724</Characters>
  <Application>Microsoft Office Word</Application>
  <DocSecurity>0</DocSecurity>
  <Lines>246</Lines>
  <Paragraphs>336</Paragraphs>
  <ScaleCrop>false</ScaleCrop>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1</cp:revision>
  <dcterms:created xsi:type="dcterms:W3CDTF">2020-08-23T06:16:00Z</dcterms:created>
  <dcterms:modified xsi:type="dcterms:W3CDTF">2020-08-23T06:16:00Z</dcterms:modified>
</cp:coreProperties>
</file>