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3C62B">
      <w:pPr>
        <w:widowControl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bookmarkStart w:id="0" w:name="OLE_LINK3"/>
      <w:bookmarkStart w:id="1" w:name="OLE_LINK4"/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4</w:t>
      </w:r>
    </w:p>
    <w:p w14:paraId="2BD60D8E">
      <w:pPr>
        <w:rPr>
          <w:rFonts w:ascii="Times New Roman" w:hAnsi="Times New Roman" w:eastAsia="宋体" w:cs="Times New Roman"/>
          <w:sz w:val="28"/>
          <w:szCs w:val="28"/>
        </w:rPr>
      </w:pPr>
    </w:p>
    <w:p w14:paraId="4DD2C153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2" w:name="_Hlk207991865"/>
      <w:r>
        <w:rPr>
          <w:rFonts w:hint="eastAsia" w:ascii="Times New Roman" w:hAnsi="Times New Roman" w:eastAsia="方正小标宋简体" w:cs="Times New Roman"/>
          <w:sz w:val="44"/>
          <w:szCs w:val="44"/>
        </w:rPr>
        <w:t>江苏省高校电子信息类课程教学竞赛</w:t>
      </w:r>
    </w:p>
    <w:p w14:paraId="294F726B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教学设计评分表</w:t>
      </w:r>
    </w:p>
    <w:bookmarkEnd w:id="0"/>
    <w:bookmarkEnd w:id="1"/>
    <w:bookmarkEnd w:id="2"/>
    <w:p w14:paraId="3702C31B">
      <w:pPr>
        <w:rPr>
          <w:rFonts w:ascii="Times New Roman" w:hAnsi="Times New Roman" w:eastAsia="宋体" w:cs="Times New Roman"/>
          <w:sz w:val="28"/>
          <w:szCs w:val="28"/>
        </w:rPr>
      </w:pPr>
    </w:p>
    <w:tbl>
      <w:tblPr>
        <w:tblStyle w:val="3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949"/>
        <w:gridCol w:w="5441"/>
        <w:gridCol w:w="500"/>
        <w:gridCol w:w="500"/>
        <w:gridCol w:w="500"/>
      </w:tblGrid>
      <w:tr w14:paraId="7664C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E6992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89334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4"/>
              </w:rPr>
              <w:t>项</w:t>
            </w:r>
            <w:r>
              <w:rPr>
                <w:rFonts w:ascii="仿宋" w:hAnsi="仿宋" w:eastAsia="仿宋" w:cs="宋体"/>
                <w:b/>
                <w:kern w:val="0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kern w:val="0"/>
                <w:szCs w:val="24"/>
              </w:rPr>
              <w:t>目</w:t>
            </w: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3E584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4"/>
              </w:rPr>
              <w:t>指</w:t>
            </w:r>
            <w:r>
              <w:rPr>
                <w:rFonts w:ascii="仿宋" w:hAnsi="仿宋" w:eastAsia="仿宋" w:cs="宋体"/>
                <w:b/>
                <w:kern w:val="0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kern w:val="0"/>
                <w:szCs w:val="24"/>
              </w:rPr>
              <w:t>标</w:t>
            </w:r>
            <w:r>
              <w:rPr>
                <w:rFonts w:ascii="仿宋" w:hAnsi="仿宋" w:eastAsia="仿宋" w:cs="宋体"/>
                <w:b/>
                <w:kern w:val="0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kern w:val="0"/>
                <w:szCs w:val="24"/>
              </w:rPr>
              <w:t>内</w:t>
            </w:r>
            <w:r>
              <w:rPr>
                <w:rFonts w:ascii="仿宋" w:hAnsi="仿宋" w:eastAsia="仿宋" w:cs="宋体"/>
                <w:b/>
                <w:kern w:val="0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kern w:val="0"/>
                <w:szCs w:val="24"/>
              </w:rPr>
              <w:t>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8D88F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4"/>
              </w:rPr>
              <w:t>满分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8DD76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4"/>
              </w:rPr>
              <w:t>得分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14C8D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4"/>
              </w:rPr>
              <w:t>备注</w:t>
            </w:r>
          </w:p>
        </w:tc>
      </w:tr>
      <w:tr w14:paraId="4DCC0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5E58E">
            <w:pPr>
              <w:widowControl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1</w:t>
            </w:r>
          </w:p>
        </w:tc>
        <w:tc>
          <w:tcPr>
            <w:tcW w:w="9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0B5DD">
            <w:pPr>
              <w:widowControl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理念与</w:t>
            </w:r>
          </w:p>
          <w:p w14:paraId="132FF10D">
            <w:pPr>
              <w:widowControl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目标</w:t>
            </w: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F44E2">
            <w:pPr>
              <w:widowControl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体现“以学生发展为中心”的理念，教学理念符合学科特点和学生实际。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25EAD">
            <w:pPr>
              <w:widowControl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ascii="仿宋" w:hAnsi="仿宋" w:eastAsia="仿宋" w:cs="宋体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7051E">
            <w:pPr>
              <w:widowControl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04E9B">
            <w:pPr>
              <w:widowControl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</w:p>
        </w:tc>
      </w:tr>
      <w:tr w14:paraId="322B6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BFD9C">
            <w:pPr>
              <w:widowControl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D1858">
            <w:pPr>
              <w:widowControl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BDD89">
            <w:pPr>
              <w:widowControl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教学目标清楚、具体，易于理解，便于实施，行为动词使用正确，阐述规范。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E8419">
            <w:pPr>
              <w:widowControl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ascii="仿宋" w:hAnsi="仿宋" w:eastAsia="仿宋" w:cs="宋体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E76D1">
            <w:pPr>
              <w:widowControl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11190">
            <w:pPr>
              <w:widowControl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</w:p>
        </w:tc>
      </w:tr>
      <w:tr w14:paraId="4C7E6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EA6BC">
            <w:pPr>
              <w:widowControl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ascii="仿宋" w:hAnsi="仿宋" w:eastAsia="仿宋" w:cs="宋体"/>
                <w:kern w:val="0"/>
                <w:szCs w:val="24"/>
              </w:rPr>
              <w:t>2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D69EC">
            <w:pPr>
              <w:widowControl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学情</w:t>
            </w:r>
          </w:p>
          <w:p w14:paraId="179F01B2">
            <w:pPr>
              <w:widowControl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分析</w:t>
            </w: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0CADA">
            <w:pPr>
              <w:widowControl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ascii="仿宋" w:hAnsi="仿宋" w:eastAsia="仿宋" w:cs="宋体"/>
                <w:kern w:val="0"/>
                <w:szCs w:val="24"/>
              </w:rPr>
              <w:t>学生认知特点和起点水平表述恰当，学习习惯和能力分析合理。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2E816">
            <w:pPr>
              <w:widowControl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ascii="仿宋" w:hAnsi="仿宋" w:eastAsia="仿宋" w:cs="宋体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E5421">
            <w:pPr>
              <w:widowControl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AC569">
            <w:pPr>
              <w:widowControl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</w:p>
        </w:tc>
      </w:tr>
      <w:tr w14:paraId="3B16B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DC84A">
            <w:pPr>
              <w:widowControl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ascii="仿宋" w:hAnsi="仿宋" w:eastAsia="仿宋" w:cs="宋体"/>
                <w:kern w:val="0"/>
                <w:szCs w:val="24"/>
              </w:rPr>
              <w:t>3</w:t>
            </w:r>
          </w:p>
        </w:tc>
        <w:tc>
          <w:tcPr>
            <w:tcW w:w="9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12BC5">
            <w:pPr>
              <w:widowControl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内容</w:t>
            </w:r>
          </w:p>
          <w:p w14:paraId="6259714F">
            <w:pPr>
              <w:widowControl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分析</w:t>
            </w: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CC6E8">
            <w:pPr>
              <w:widowControl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ascii="仿宋" w:hAnsi="仿宋" w:eastAsia="仿宋" w:cs="宋体"/>
                <w:kern w:val="0"/>
                <w:szCs w:val="24"/>
              </w:rPr>
              <w:t>教学内容前后知识点关系、地位、作用描述准确，重点、难点分析清楚</w:t>
            </w:r>
            <w:r>
              <w:rPr>
                <w:rFonts w:hint="eastAsia" w:ascii="仿宋" w:hAnsi="仿宋" w:eastAsia="仿宋" w:cs="宋体"/>
                <w:kern w:val="0"/>
                <w:szCs w:val="24"/>
              </w:rPr>
              <w:t>、把握准确。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778A4">
            <w:pPr>
              <w:widowControl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BF490">
            <w:pPr>
              <w:widowControl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1E8A5">
            <w:pPr>
              <w:widowControl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</w:p>
        </w:tc>
      </w:tr>
      <w:tr w14:paraId="5A807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37111">
            <w:pPr>
              <w:widowControl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57E07">
            <w:pPr>
              <w:widowControl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0BF43">
            <w:pPr>
              <w:widowControl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ascii="仿宋" w:hAnsi="仿宋" w:eastAsia="仿宋" w:cs="宋体"/>
                <w:kern w:val="0"/>
                <w:szCs w:val="24"/>
              </w:rPr>
              <w:t>能够将教学内容与学科研究新进展、</w:t>
            </w:r>
            <w:r>
              <w:rPr>
                <w:rFonts w:hint="eastAsia" w:ascii="仿宋" w:hAnsi="仿宋" w:eastAsia="仿宋" w:cs="宋体"/>
                <w:kern w:val="0"/>
                <w:szCs w:val="24"/>
              </w:rPr>
              <w:t>产业</w:t>
            </w:r>
            <w:r>
              <w:rPr>
                <w:rFonts w:ascii="仿宋" w:hAnsi="仿宋" w:eastAsia="仿宋" w:cs="宋体"/>
                <w:kern w:val="0"/>
                <w:szCs w:val="24"/>
              </w:rPr>
              <w:t>发展新经验、社会需求新变化相联系。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65CB0">
            <w:pPr>
              <w:widowControl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E7C43">
            <w:pPr>
              <w:widowControl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21C9C">
            <w:pPr>
              <w:widowControl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</w:p>
        </w:tc>
      </w:tr>
      <w:tr w14:paraId="1A5D3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96028">
            <w:pPr>
              <w:widowControl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AA4BE">
            <w:pPr>
              <w:widowControl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EC811">
            <w:pPr>
              <w:widowControl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将思想政治教育与专业教育有机融合，引用典型教学案例举例说明，具有示范作用和</w:t>
            </w:r>
            <w:r>
              <w:rPr>
                <w:rFonts w:ascii="仿宋" w:hAnsi="仿宋" w:eastAsia="仿宋" w:cs="宋体"/>
                <w:kern w:val="0"/>
                <w:szCs w:val="24"/>
              </w:rPr>
              <w:t>推广价值。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E131D">
            <w:pPr>
              <w:widowControl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003CB">
            <w:pPr>
              <w:widowControl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E6ECC">
            <w:pPr>
              <w:widowControl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</w:p>
        </w:tc>
      </w:tr>
      <w:tr w14:paraId="43EB4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9E1D5">
            <w:pPr>
              <w:widowControl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ascii="仿宋" w:hAnsi="仿宋" w:eastAsia="仿宋" w:cs="宋体"/>
                <w:kern w:val="0"/>
                <w:szCs w:val="24"/>
              </w:rPr>
              <w:t>4</w:t>
            </w:r>
          </w:p>
        </w:tc>
        <w:tc>
          <w:tcPr>
            <w:tcW w:w="9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18D6C">
            <w:pPr>
              <w:widowControl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过程与</w:t>
            </w:r>
          </w:p>
          <w:p w14:paraId="402DBCC1">
            <w:pPr>
              <w:widowControl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方法</w:t>
            </w: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F02AB">
            <w:pPr>
              <w:widowControl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ascii="仿宋" w:hAnsi="仿宋" w:eastAsia="仿宋" w:cs="宋体"/>
                <w:kern w:val="0"/>
                <w:szCs w:val="24"/>
              </w:rPr>
              <w:t>教学活动丰富多样，能体现各等级水平的知识、技能和情感价值目标。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629B3">
            <w:pPr>
              <w:widowControl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A67C3">
            <w:pPr>
              <w:widowControl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6E02F">
            <w:pPr>
              <w:widowControl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</w:p>
        </w:tc>
      </w:tr>
      <w:tr w14:paraId="65AA7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7E709">
            <w:pPr>
              <w:widowControl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732F1">
            <w:pPr>
              <w:widowControl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A05E3">
            <w:pPr>
              <w:widowControl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ascii="仿宋" w:hAnsi="仿宋" w:eastAsia="仿宋" w:cs="宋体"/>
                <w:kern w:val="0"/>
                <w:szCs w:val="24"/>
              </w:rPr>
              <w:t>能根据课程特点，用创新的教学策略、方法、技术解决课堂中存在的各种问题和困难</w:t>
            </w:r>
            <w:r>
              <w:rPr>
                <w:rFonts w:hint="eastAsia" w:ascii="仿宋" w:hAnsi="仿宋" w:eastAsia="仿宋" w:cs="宋体"/>
                <w:kern w:val="0"/>
                <w:szCs w:val="24"/>
              </w:rPr>
              <w:t>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0DA76">
            <w:pPr>
              <w:widowControl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9CA98">
            <w:pPr>
              <w:widowControl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DE801">
            <w:pPr>
              <w:widowControl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</w:p>
        </w:tc>
      </w:tr>
      <w:tr w14:paraId="4817D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D784A">
            <w:pPr>
              <w:widowControl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F83A0">
            <w:pPr>
              <w:widowControl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972FC">
            <w:pPr>
              <w:widowControl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具有科学合理的学习评价方法和标准，对提高学生学习成效有明显促进作用。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CE990">
            <w:pPr>
              <w:widowControl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9261D">
            <w:pPr>
              <w:widowControl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C7EC5">
            <w:pPr>
              <w:widowControl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</w:p>
        </w:tc>
      </w:tr>
      <w:tr w14:paraId="77740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BE8EB">
            <w:pPr>
              <w:widowControl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ascii="仿宋" w:hAnsi="仿宋" w:eastAsia="仿宋" w:cs="宋体"/>
                <w:kern w:val="0"/>
                <w:szCs w:val="24"/>
              </w:rPr>
              <w:t>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F72A7">
            <w:pPr>
              <w:widowControl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设计</w:t>
            </w:r>
          </w:p>
          <w:p w14:paraId="478180F7">
            <w:pPr>
              <w:widowControl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创新</w:t>
            </w: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D5028">
            <w:pPr>
              <w:widowControl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ascii="仿宋" w:hAnsi="仿宋" w:eastAsia="仿宋" w:cs="宋体"/>
                <w:kern w:val="0"/>
                <w:szCs w:val="24"/>
              </w:rPr>
              <w:t>教学方案的整体设计富有创新性，能体现</w:t>
            </w:r>
            <w:r>
              <w:rPr>
                <w:rFonts w:hint="eastAsia" w:ascii="仿宋" w:hAnsi="仿宋" w:eastAsia="仿宋" w:cs="宋体"/>
                <w:kern w:val="0"/>
                <w:szCs w:val="24"/>
              </w:rPr>
              <w:t>先进的</w:t>
            </w:r>
            <w:r>
              <w:rPr>
                <w:rFonts w:ascii="仿宋" w:hAnsi="仿宋" w:eastAsia="仿宋" w:cs="宋体"/>
                <w:kern w:val="0"/>
                <w:szCs w:val="24"/>
              </w:rPr>
              <w:t>教学理念和要求；教学方法</w:t>
            </w:r>
            <w:r>
              <w:rPr>
                <w:rFonts w:hint="eastAsia" w:ascii="仿宋" w:hAnsi="仿宋" w:eastAsia="仿宋" w:cs="宋体"/>
                <w:kern w:val="0"/>
                <w:szCs w:val="24"/>
              </w:rPr>
              <w:t>、</w:t>
            </w:r>
            <w:r>
              <w:rPr>
                <w:rFonts w:ascii="仿宋" w:hAnsi="仿宋" w:eastAsia="仿宋" w:cs="宋体"/>
                <w:kern w:val="0"/>
                <w:szCs w:val="24"/>
              </w:rPr>
              <w:t>过程设计有特色</w:t>
            </w:r>
            <w:r>
              <w:rPr>
                <w:rFonts w:hint="eastAsia" w:ascii="仿宋" w:hAnsi="仿宋" w:eastAsia="仿宋" w:cs="宋体"/>
                <w:kern w:val="0"/>
                <w:szCs w:val="24"/>
              </w:rPr>
              <w:t>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8F2DD">
            <w:pPr>
              <w:widowControl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9C415">
            <w:pPr>
              <w:widowControl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4B2B8">
            <w:pPr>
              <w:widowControl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</w:p>
        </w:tc>
      </w:tr>
      <w:tr w14:paraId="63E2F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90B97">
            <w:pPr>
              <w:widowControl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CD9D8">
            <w:pPr>
              <w:widowControl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总</w:t>
            </w:r>
            <w:r>
              <w:rPr>
                <w:rFonts w:ascii="仿宋" w:hAnsi="仿宋" w:eastAsia="仿宋" w:cs="宋体"/>
                <w:kern w:val="0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Cs w:val="24"/>
              </w:rPr>
              <w:t>评</w:t>
            </w: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E04EA">
            <w:pPr>
              <w:widowControl/>
              <w:rPr>
                <w:rFonts w:ascii="仿宋" w:hAnsi="仿宋" w:eastAsia="仿宋" w:cs="宋体"/>
                <w:kern w:val="0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14A98">
            <w:pPr>
              <w:widowControl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</w:p>
        </w:tc>
      </w:tr>
    </w:tbl>
    <w:p w14:paraId="6BCA37DF">
      <w:pPr>
        <w:adjustRightInd w:val="0"/>
        <w:snapToGrid w:val="0"/>
        <w:rPr>
          <w:rFonts w:ascii="仿宋" w:hAnsi="仿宋" w:eastAsia="仿宋" w:cs="宋体"/>
          <w:kern w:val="0"/>
          <w:szCs w:val="21"/>
        </w:rPr>
      </w:pPr>
    </w:p>
    <w:p w14:paraId="35AC3CA6">
      <w:pPr>
        <w:adjustRightInd w:val="0"/>
        <w:snapToGrid w:val="0"/>
        <w:rPr>
          <w:rFonts w:ascii="仿宋" w:hAnsi="仿宋" w:eastAsia="仿宋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Cs w:val="21"/>
        </w:rPr>
        <w:t>注：课堂教学设计总分2</w:t>
      </w:r>
      <w:r>
        <w:rPr>
          <w:rFonts w:ascii="仿宋" w:hAnsi="仿宋" w:eastAsia="仿宋" w:cs="宋体"/>
          <w:kern w:val="0"/>
          <w:szCs w:val="21"/>
        </w:rPr>
        <w:t>0</w:t>
      </w:r>
      <w:r>
        <w:rPr>
          <w:rFonts w:hint="eastAsia" w:ascii="仿宋" w:hAnsi="仿宋" w:eastAsia="仿宋" w:cs="宋体"/>
          <w:kern w:val="0"/>
          <w:szCs w:val="21"/>
        </w:rPr>
        <w:t>分。</w:t>
      </w:r>
    </w:p>
    <w:p w14:paraId="63FCFCEF"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C65A0"/>
    <w:rsid w:val="722C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2025-09-11T03:02:00Z</dcterms:created>
  <dc:creator>黄榕</dc:creator>
  <cp:lastModifiedBy>黄榕</cp:lastModifiedBy>
  <dcterms:modified xsi:type="dcterms:W3CDTF">2025-09-11T03:02:57Z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184158A260154D5482045F36D58AD8C9_11</vt:lpwstr>
  </property>
  <property fmtid="{D5CDD505-2E9C-101B-9397-08002B2CF9AE}" pid="4" name="KSOTemplateDocerSaveRecord">
    <vt:lpwstr>eyJoZGlkIjoiMzEwNTM5NzYwMDRjMzkwZTVkZjY2ODkwMGIxNGU0OTUiLCJ1c2VySWQiOiIyODc0NDcxMTcifQ==</vt:lpwstr>
  </property>
</Properties>
</file>